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bookmarkStart w:id="0" w:name="_GoBack"/>
      <w:bookmarkEnd w:id="0"/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8D111C" w:rsidRPr="00354B2E">
        <w:rPr>
          <w:noProof/>
          <w:lang w:val="en-US" w:eastAsia="en-US"/>
        </w:rPr>
        <w:drawing>
          <wp:inline distT="0" distB="0" distL="0" distR="0">
            <wp:extent cx="990600" cy="942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1" t="15164" r="6557" b="23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Pr="009E34E3" w:rsidRDefault="00AC3BCD" w:rsidP="00AC3BCD">
      <w:pPr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="009E34E3">
        <w:rPr>
          <w:rFonts w:eastAsia="MS PGothic"/>
          <w:b/>
          <w:color w:val="000000"/>
          <w:sz w:val="28"/>
          <w:szCs w:val="28"/>
        </w:rPr>
        <w:t xml:space="preserve"> </w:t>
      </w:r>
      <w:r w:rsidR="008A1CEC" w:rsidRPr="008A1CEC">
        <w:rPr>
          <w:rFonts w:eastAsia="MS PGothic"/>
          <w:b/>
          <w:color w:val="000000"/>
          <w:sz w:val="28"/>
          <w:szCs w:val="28"/>
        </w:rPr>
        <w:t>Conversion</w:t>
      </w:r>
      <w:r w:rsidRPr="008A1CEC">
        <w:rPr>
          <w:rFonts w:eastAsia="MS PGothic"/>
          <w:b/>
          <w:color w:val="000000"/>
          <w:sz w:val="28"/>
          <w:szCs w:val="28"/>
        </w:rPr>
        <w:t xml:space="preserve"> </w:t>
      </w:r>
      <w:r w:rsidR="009E34E3" w:rsidRPr="008A1CEC">
        <w:rPr>
          <w:b/>
          <w:sz w:val="28"/>
          <w:szCs w:val="28"/>
          <w:lang w:val="en-US"/>
        </w:rPr>
        <w:t>of glycidol to glycerol carbonate using Halogen-free bio-based organic salts</w:t>
      </w:r>
    </w:p>
    <w:p w:rsidR="00AC3BCD" w:rsidRPr="008A1CEC" w:rsidRDefault="00AC3BCD" w:rsidP="00AC3BCD">
      <w:pPr>
        <w:rPr>
          <w:rFonts w:eastAsia="MS PGothic" w:hAnsi="Arial"/>
          <w:color w:val="000000"/>
          <w:lang w:val="en-US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8A1CEC">
        <w:rPr>
          <w:rFonts w:eastAsia="MS PGothic" w:hAnsi="Arial"/>
          <w:color w:val="000000"/>
        </w:rPr>
        <w:t>Jitpisut Poolwong</w:t>
      </w:r>
    </w:p>
    <w:p w:rsidR="008A1CEC" w:rsidRPr="008A1CEC" w:rsidRDefault="008A1CEC" w:rsidP="008A1CEC">
      <w:pPr>
        <w:pStyle w:val="Affiliation"/>
        <w:rPr>
          <w:iCs/>
          <w:sz w:val="24"/>
          <w:lang w:val="en-US"/>
        </w:rPr>
      </w:pPr>
      <w:r w:rsidRPr="008A1CEC">
        <w:rPr>
          <w:b/>
          <w:iCs/>
          <w:sz w:val="24"/>
        </w:rPr>
        <w:t xml:space="preserve">                     </w:t>
      </w:r>
      <w:r w:rsidRPr="008A1CEC">
        <w:rPr>
          <w:iCs/>
          <w:sz w:val="24"/>
          <w:lang w:val="en-US"/>
        </w:rPr>
        <w:t>Vidyasirimedhi Institute of Science and Technology (VISTEC)</w:t>
      </w:r>
      <w:r>
        <w:rPr>
          <w:iCs/>
          <w:sz w:val="24"/>
          <w:lang w:val="en-US"/>
        </w:rPr>
        <w:t xml:space="preserve"> School of Molecular Science and Engineering</w:t>
      </w:r>
      <w:r w:rsidRPr="008A1CEC">
        <w:rPr>
          <w:iCs/>
          <w:sz w:val="24"/>
          <w:lang w:val="en-US"/>
        </w:rPr>
        <w:t xml:space="preserve">, </w:t>
      </w:r>
      <w:r w:rsidR="00423FFC">
        <w:rPr>
          <w:iCs/>
          <w:sz w:val="24"/>
          <w:lang w:val="en-US"/>
        </w:rPr>
        <w:t>Rayong</w:t>
      </w:r>
      <w:r w:rsidRPr="008A1CEC">
        <w:rPr>
          <w:iCs/>
          <w:sz w:val="24"/>
          <w:lang w:val="en-US"/>
        </w:rPr>
        <w:t xml:space="preserve"> 21210, Thailand.</w:t>
      </w:r>
    </w:p>
    <w:p w:rsidR="00AC3BCD" w:rsidRPr="008A1CEC" w:rsidRDefault="00AC3BCD" w:rsidP="008A1CEC">
      <w:pPr>
        <w:rPr>
          <w:rFonts w:eastAsia="Batang"/>
          <w:color w:val="0000FF"/>
          <w:sz w:val="36"/>
          <w:szCs w:val="36"/>
          <w:lang w:val="en-US"/>
        </w:rPr>
      </w:pPr>
    </w:p>
    <w:p w:rsidR="00AC3BCD" w:rsidRDefault="00C40819" w:rsidP="00C40819">
      <w:pPr>
        <w:ind w:firstLine="708"/>
        <w:jc w:val="both"/>
        <w:rPr>
          <w:szCs w:val="20"/>
        </w:rPr>
      </w:pPr>
      <w:r w:rsidRPr="00C40819">
        <w:t>Catalytic transformation of carbon dioxide (CO</w:t>
      </w:r>
      <w:r w:rsidRPr="00C40819">
        <w:rPr>
          <w:vertAlign w:val="subscript"/>
        </w:rPr>
        <w:t>2</w:t>
      </w:r>
      <w:r w:rsidRPr="00C40819">
        <w:t>) into higher useful chemicals has gained much interest in organic synthetic chemistry for the exploitation of CO</w:t>
      </w:r>
      <w:r w:rsidRPr="00C40819">
        <w:rPr>
          <w:vertAlign w:val="subscript"/>
        </w:rPr>
        <w:t>2</w:t>
      </w:r>
      <w:r w:rsidRPr="00C40819">
        <w:t xml:space="preserve"> as C</w:t>
      </w:r>
      <w:r w:rsidRPr="00C40819">
        <w:rPr>
          <w:vertAlign w:val="subscript"/>
        </w:rPr>
        <w:t>1</w:t>
      </w:r>
      <w:r w:rsidRPr="00C40819">
        <w:t xml:space="preserve"> resources. In recent years, organocatalytic reactions have received wide attention because of cost-effectiveness, sustainability, and non-toxicity.</w:t>
      </w:r>
      <w:r>
        <w:t xml:space="preserve"> In this work we explore readily biobased</w:t>
      </w:r>
      <w:r w:rsidR="009E34E3">
        <w:t xml:space="preserve"> organic salts for the cycloaddition of CO</w:t>
      </w:r>
      <w:r w:rsidR="009E34E3" w:rsidRPr="009E34E3">
        <w:rPr>
          <w:vertAlign w:val="subscript"/>
        </w:rPr>
        <w:t>2</w:t>
      </w:r>
      <w:r w:rsidR="009E34E3">
        <w:t xml:space="preserve"> to glycidol to generate glycerol carbonate (GC) as a product. GC </w:t>
      </w:r>
      <w:r w:rsidR="009E34E3" w:rsidRPr="0024228F">
        <w:rPr>
          <w:szCs w:val="20"/>
        </w:rPr>
        <w:t>has obtained much interest due to its several properties such as specific reactivity, biodegradability, lack of toxicity or flammability, solubility in water and low vapor pressure. GC has found a wide range of applications, especially as a building block for the production of chemicals and polymers, organic solvent, a liquid carrier electrolytes in lithium batteries and an additive in cosmetics.</w:t>
      </w:r>
    </w:p>
    <w:p w:rsidR="009E34E3" w:rsidRPr="00C40819" w:rsidRDefault="009E34E3" w:rsidP="00C40819">
      <w:pPr>
        <w:ind w:firstLine="708"/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423FFC" w:rsidRDefault="00423FFC" w:rsidP="00AC3BCD">
      <w:pPr>
        <w:jc w:val="both"/>
      </w:pPr>
      <w:r>
        <w:t xml:space="preserve">Jitpisut Poolwong is currently PhD student in department of materials science and engineering at VISTEC. She has completed her bacherlor degree from Kasetsart University in a field of Chemistry. She has published 5 papers in </w:t>
      </w:r>
      <w:r w:rsidR="007501CA">
        <w:t>reputed journals and has been serving as an editorial board member of repute.</w:t>
      </w:r>
    </w:p>
    <w:p w:rsidR="00AC3BCD" w:rsidRPr="00A41107" w:rsidRDefault="00AC3BCD" w:rsidP="00AC3BCD">
      <w:pPr>
        <w:jc w:val="both"/>
        <w:rPr>
          <w:rFonts w:eastAsia="MS PGothic"/>
          <w:b/>
          <w:color w:val="000000"/>
          <w:szCs w:val="32"/>
        </w:rPr>
      </w:pP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7501CA">
        <w:rPr>
          <w:lang w:val="en-NZ"/>
        </w:rPr>
        <w:t>Jitpisut Poolwong</w:t>
      </w:r>
      <w:r w:rsidRPr="008A690F">
        <w:rPr>
          <w:lang w:val="en-NZ"/>
        </w:rPr>
        <w:br/>
        <w:t>Contact number:</w:t>
      </w:r>
      <w:r w:rsidR="007501CA">
        <w:rPr>
          <w:lang w:val="en-NZ"/>
        </w:rPr>
        <w:t xml:space="preserve"> +66 98 829 3053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AC3BCD" w:rsidRDefault="00AC3BCD" w:rsidP="008917D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7501CA">
        <w:rPr>
          <w:lang w:val="en-NZ"/>
        </w:rPr>
        <w:t xml:space="preserve"> </w:t>
      </w:r>
      <w:r w:rsidR="005E1092">
        <w:rPr>
          <w:lang w:val="en-NZ"/>
        </w:rPr>
        <w:t>Catalytic materials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</w:p>
    <w:p w:rsidR="007501CA" w:rsidRDefault="007501CA" w:rsidP="008917D7">
      <w:pPr>
        <w:autoSpaceDE w:val="0"/>
        <w:autoSpaceDN w:val="0"/>
        <w:adjustRightInd w:val="0"/>
        <w:rPr>
          <w:lang w:val="en-NZ"/>
        </w:rPr>
      </w:pPr>
    </w:p>
    <w:p w:rsidR="007501CA" w:rsidRDefault="007501CA" w:rsidP="008917D7">
      <w:pPr>
        <w:autoSpaceDE w:val="0"/>
        <w:autoSpaceDN w:val="0"/>
        <w:adjustRightInd w:val="0"/>
        <w:rPr>
          <w:b/>
          <w:bCs/>
          <w:lang w:val="en-NZ"/>
        </w:rPr>
      </w:pPr>
      <w:r w:rsidRPr="007501CA">
        <w:rPr>
          <w:b/>
          <w:bCs/>
          <w:lang w:val="en-NZ"/>
        </w:rPr>
        <w:t>References</w:t>
      </w:r>
    </w:p>
    <w:p w:rsidR="00A31285" w:rsidRPr="00A31285" w:rsidRDefault="00A31285" w:rsidP="00A31285">
      <w:pPr>
        <w:pStyle w:val="EndNoteBibliography"/>
        <w:ind w:left="720" w:hanging="720"/>
        <w:rPr>
          <w:sz w:val="24"/>
        </w:rPr>
      </w:pPr>
      <w:r w:rsidRPr="00A31285">
        <w:rPr>
          <w:sz w:val="24"/>
        </w:rPr>
        <w:t>1.</w:t>
      </w:r>
      <w:r w:rsidRPr="00A31285">
        <w:rPr>
          <w:sz w:val="24"/>
        </w:rPr>
        <w:tab/>
        <w:t xml:space="preserve">J. Poolwong, V. Aomchad, S. Del Gobbo, A. W. Kleij and V. D'Elia, </w:t>
      </w:r>
      <w:r w:rsidRPr="00A31285">
        <w:rPr>
          <w:i/>
          <w:sz w:val="24"/>
        </w:rPr>
        <w:t>ChemSusChem</w:t>
      </w:r>
      <w:r w:rsidRPr="00A31285">
        <w:rPr>
          <w:sz w:val="24"/>
        </w:rPr>
        <w:t xml:space="preserve">, 2022, </w:t>
      </w:r>
      <w:r w:rsidRPr="00A31285">
        <w:rPr>
          <w:b/>
          <w:sz w:val="24"/>
        </w:rPr>
        <w:t>n/a</w:t>
      </w:r>
      <w:r w:rsidRPr="00A31285">
        <w:rPr>
          <w:sz w:val="24"/>
        </w:rPr>
        <w:t>.</w:t>
      </w:r>
    </w:p>
    <w:p w:rsidR="007501CA" w:rsidRPr="00A31285" w:rsidRDefault="007501CA" w:rsidP="007501CA">
      <w:pPr>
        <w:pStyle w:val="EndNoteBibliography"/>
        <w:ind w:left="720" w:hanging="720"/>
        <w:rPr>
          <w:sz w:val="24"/>
        </w:rPr>
      </w:pPr>
      <w:r w:rsidRPr="00A31285">
        <w:rPr>
          <w:sz w:val="24"/>
          <w:lang w:val="en-US"/>
        </w:rPr>
        <w:fldChar w:fldCharType="begin"/>
      </w:r>
      <w:r w:rsidRPr="00A31285">
        <w:rPr>
          <w:sz w:val="24"/>
          <w:lang w:val="en-US"/>
        </w:rPr>
        <w:instrText xml:space="preserve"> ADDIN EN.REFLIST </w:instrText>
      </w:r>
      <w:r w:rsidRPr="00A31285">
        <w:rPr>
          <w:sz w:val="24"/>
          <w:lang w:val="en-US"/>
        </w:rPr>
        <w:fldChar w:fldCharType="separate"/>
      </w:r>
      <w:r w:rsidR="00A31285" w:rsidRPr="00A31285">
        <w:rPr>
          <w:sz w:val="24"/>
        </w:rPr>
        <w:t>2</w:t>
      </w:r>
      <w:r w:rsidRPr="00A31285">
        <w:rPr>
          <w:sz w:val="24"/>
        </w:rPr>
        <w:t>.</w:t>
      </w:r>
      <w:r w:rsidRPr="00A31285">
        <w:rPr>
          <w:sz w:val="24"/>
        </w:rPr>
        <w:tab/>
        <w:t xml:space="preserve">Z. Wang, R. Gérardy, G. Gauron, C. Damblon and J.-C. M. Monbaliu, </w:t>
      </w:r>
      <w:r w:rsidRPr="00A31285">
        <w:rPr>
          <w:i/>
          <w:sz w:val="24"/>
        </w:rPr>
        <w:t>Reaction Chemistry &amp; Engineering</w:t>
      </w:r>
      <w:r w:rsidRPr="00A31285">
        <w:rPr>
          <w:sz w:val="24"/>
        </w:rPr>
        <w:t xml:space="preserve">, 2019, </w:t>
      </w:r>
      <w:r w:rsidRPr="00A31285">
        <w:rPr>
          <w:b/>
          <w:sz w:val="24"/>
        </w:rPr>
        <w:t>4</w:t>
      </w:r>
      <w:r w:rsidRPr="00A31285">
        <w:rPr>
          <w:sz w:val="24"/>
        </w:rPr>
        <w:t>, 17-26.</w:t>
      </w:r>
    </w:p>
    <w:p w:rsidR="007501CA" w:rsidRPr="00A31285" w:rsidRDefault="00A31285" w:rsidP="007501CA">
      <w:pPr>
        <w:pStyle w:val="EndNoteBibliography"/>
        <w:ind w:left="720" w:hanging="720"/>
        <w:rPr>
          <w:sz w:val="24"/>
        </w:rPr>
      </w:pPr>
      <w:r w:rsidRPr="00A31285">
        <w:rPr>
          <w:sz w:val="24"/>
        </w:rPr>
        <w:t>3</w:t>
      </w:r>
      <w:r w:rsidR="007501CA" w:rsidRPr="00A31285">
        <w:rPr>
          <w:sz w:val="24"/>
        </w:rPr>
        <w:t>.</w:t>
      </w:r>
      <w:r w:rsidR="007501CA" w:rsidRPr="00A31285">
        <w:rPr>
          <w:sz w:val="24"/>
        </w:rPr>
        <w:tab/>
        <w:t xml:space="preserve">M. O. Sonnati, S. Amigoni, E. P. Taffin de Givenchy, T. Darmanin, O. Choulet and F. Guittard, </w:t>
      </w:r>
      <w:r w:rsidR="007501CA" w:rsidRPr="00A31285">
        <w:rPr>
          <w:i/>
          <w:sz w:val="24"/>
        </w:rPr>
        <w:t>Green Chemistry</w:t>
      </w:r>
      <w:r w:rsidR="007501CA" w:rsidRPr="00A31285">
        <w:rPr>
          <w:sz w:val="24"/>
        </w:rPr>
        <w:t xml:space="preserve">, 2013, </w:t>
      </w:r>
      <w:r w:rsidR="007501CA" w:rsidRPr="00A31285">
        <w:rPr>
          <w:b/>
          <w:sz w:val="24"/>
        </w:rPr>
        <w:t>15</w:t>
      </w:r>
      <w:r w:rsidR="007501CA" w:rsidRPr="00A31285">
        <w:rPr>
          <w:sz w:val="24"/>
        </w:rPr>
        <w:t>, 283-306.</w:t>
      </w:r>
    </w:p>
    <w:p w:rsidR="007501CA" w:rsidRPr="00A31285" w:rsidRDefault="00A31285" w:rsidP="007501CA">
      <w:pPr>
        <w:pStyle w:val="EndNoteBibliography"/>
        <w:ind w:left="720" w:hanging="720"/>
        <w:rPr>
          <w:sz w:val="24"/>
        </w:rPr>
      </w:pPr>
      <w:r w:rsidRPr="00A31285">
        <w:rPr>
          <w:sz w:val="24"/>
        </w:rPr>
        <w:t>4</w:t>
      </w:r>
      <w:r w:rsidR="007501CA" w:rsidRPr="00A31285">
        <w:rPr>
          <w:sz w:val="24"/>
        </w:rPr>
        <w:t>.</w:t>
      </w:r>
      <w:r w:rsidR="007501CA" w:rsidRPr="00A31285">
        <w:rPr>
          <w:sz w:val="24"/>
        </w:rPr>
        <w:tab/>
        <w:t xml:space="preserve">N. Yadav, F. Seidi, D. Crespy and V. D'Elia, </w:t>
      </w:r>
      <w:r w:rsidR="007501CA" w:rsidRPr="00A31285">
        <w:rPr>
          <w:i/>
          <w:sz w:val="24"/>
        </w:rPr>
        <w:t>ChemSusChem</w:t>
      </w:r>
      <w:r w:rsidR="007501CA" w:rsidRPr="00A31285">
        <w:rPr>
          <w:sz w:val="24"/>
        </w:rPr>
        <w:t xml:space="preserve">, 2019, </w:t>
      </w:r>
      <w:r w:rsidR="007501CA" w:rsidRPr="00A31285">
        <w:rPr>
          <w:b/>
          <w:sz w:val="24"/>
        </w:rPr>
        <w:t>12</w:t>
      </w:r>
      <w:r w:rsidR="007501CA" w:rsidRPr="00A31285">
        <w:rPr>
          <w:sz w:val="24"/>
        </w:rPr>
        <w:t>, 724-754.</w:t>
      </w:r>
    </w:p>
    <w:p w:rsidR="007501CA" w:rsidRPr="00A31285" w:rsidRDefault="00A31285" w:rsidP="007501CA">
      <w:pPr>
        <w:pStyle w:val="EndNoteBibliography"/>
        <w:ind w:left="720" w:hanging="720"/>
        <w:rPr>
          <w:sz w:val="24"/>
        </w:rPr>
      </w:pPr>
      <w:r w:rsidRPr="00A31285">
        <w:rPr>
          <w:sz w:val="24"/>
        </w:rPr>
        <w:t>5</w:t>
      </w:r>
      <w:r w:rsidR="007501CA" w:rsidRPr="00A31285">
        <w:rPr>
          <w:sz w:val="24"/>
        </w:rPr>
        <w:t>.</w:t>
      </w:r>
      <w:r w:rsidR="007501CA" w:rsidRPr="00A31285">
        <w:rPr>
          <w:sz w:val="24"/>
        </w:rPr>
        <w:tab/>
        <w:t xml:space="preserve">L. T. Thanh, K. Okitsu, L. V. Boi and Y. Maeda, </w:t>
      </w:r>
      <w:r w:rsidR="007501CA" w:rsidRPr="00A31285">
        <w:rPr>
          <w:i/>
          <w:sz w:val="24"/>
        </w:rPr>
        <w:t>Catalysts</w:t>
      </w:r>
      <w:r w:rsidR="007501CA" w:rsidRPr="00A31285">
        <w:rPr>
          <w:sz w:val="24"/>
        </w:rPr>
        <w:t xml:space="preserve">, 2012, </w:t>
      </w:r>
      <w:r w:rsidR="007501CA" w:rsidRPr="00A31285">
        <w:rPr>
          <w:b/>
          <w:sz w:val="24"/>
        </w:rPr>
        <w:t>2</w:t>
      </w:r>
      <w:r w:rsidR="007501CA" w:rsidRPr="00A31285">
        <w:rPr>
          <w:sz w:val="24"/>
        </w:rPr>
        <w:t>.</w:t>
      </w:r>
    </w:p>
    <w:p w:rsidR="007501CA" w:rsidRPr="007501CA" w:rsidRDefault="007501CA" w:rsidP="007501CA">
      <w:pPr>
        <w:autoSpaceDE w:val="0"/>
        <w:autoSpaceDN w:val="0"/>
        <w:adjustRightInd w:val="0"/>
        <w:rPr>
          <w:lang w:val="es-ES"/>
        </w:rPr>
      </w:pPr>
      <w:r w:rsidRPr="00A31285">
        <w:rPr>
          <w:lang w:val="en-US"/>
        </w:rPr>
        <w:fldChar w:fldCharType="end"/>
      </w:r>
    </w:p>
    <w:sectPr w:rsidR="007501CA" w:rsidRPr="007501CA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4E4" w:rsidRDefault="002774E4" w:rsidP="00671A59">
      <w:r>
        <w:separator/>
      </w:r>
    </w:p>
  </w:endnote>
  <w:endnote w:type="continuationSeparator" w:id="0">
    <w:p w:rsidR="002774E4" w:rsidRDefault="002774E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4E4" w:rsidRDefault="002774E4" w:rsidP="00671A59">
      <w:r>
        <w:separator/>
      </w:r>
    </w:p>
  </w:footnote>
  <w:footnote w:type="continuationSeparator" w:id="0">
    <w:p w:rsidR="002774E4" w:rsidRDefault="002774E4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774E4"/>
    <w:rsid w:val="00292DC0"/>
    <w:rsid w:val="002B18D5"/>
    <w:rsid w:val="002C0F2B"/>
    <w:rsid w:val="00354B2E"/>
    <w:rsid w:val="003753DD"/>
    <w:rsid w:val="003A4429"/>
    <w:rsid w:val="00423FFC"/>
    <w:rsid w:val="004775E3"/>
    <w:rsid w:val="0049217F"/>
    <w:rsid w:val="004A262E"/>
    <w:rsid w:val="004A2CA1"/>
    <w:rsid w:val="004B3B30"/>
    <w:rsid w:val="00501F0C"/>
    <w:rsid w:val="00505DA1"/>
    <w:rsid w:val="005408D9"/>
    <w:rsid w:val="00555DAD"/>
    <w:rsid w:val="005B168A"/>
    <w:rsid w:val="005C2EA1"/>
    <w:rsid w:val="005C3689"/>
    <w:rsid w:val="005C3848"/>
    <w:rsid w:val="005D43ED"/>
    <w:rsid w:val="005E1092"/>
    <w:rsid w:val="00605142"/>
    <w:rsid w:val="00612C13"/>
    <w:rsid w:val="006511AA"/>
    <w:rsid w:val="00671A59"/>
    <w:rsid w:val="00681265"/>
    <w:rsid w:val="00691F82"/>
    <w:rsid w:val="006B463C"/>
    <w:rsid w:val="006C51B8"/>
    <w:rsid w:val="006E4CAA"/>
    <w:rsid w:val="006F0C5C"/>
    <w:rsid w:val="007258AA"/>
    <w:rsid w:val="00743CCA"/>
    <w:rsid w:val="00746319"/>
    <w:rsid w:val="007501CA"/>
    <w:rsid w:val="007875D1"/>
    <w:rsid w:val="00790C29"/>
    <w:rsid w:val="007F0333"/>
    <w:rsid w:val="00800D58"/>
    <w:rsid w:val="00834D93"/>
    <w:rsid w:val="00862283"/>
    <w:rsid w:val="008917D7"/>
    <w:rsid w:val="008A1CEC"/>
    <w:rsid w:val="008A3E9A"/>
    <w:rsid w:val="008A690F"/>
    <w:rsid w:val="008B3BD4"/>
    <w:rsid w:val="008D111C"/>
    <w:rsid w:val="00901E5B"/>
    <w:rsid w:val="00970E67"/>
    <w:rsid w:val="009821B4"/>
    <w:rsid w:val="009A6AD9"/>
    <w:rsid w:val="009B0CCF"/>
    <w:rsid w:val="009B7F4F"/>
    <w:rsid w:val="009D3EA4"/>
    <w:rsid w:val="009E34E3"/>
    <w:rsid w:val="009E6632"/>
    <w:rsid w:val="009E6C61"/>
    <w:rsid w:val="00A06167"/>
    <w:rsid w:val="00A31285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40819"/>
    <w:rsid w:val="00CE08A2"/>
    <w:rsid w:val="00D06C8C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Affiliation">
    <w:name w:val="Affiliation"/>
    <w:basedOn w:val="Normal"/>
    <w:next w:val="Title"/>
    <w:rsid w:val="008A1CEC"/>
    <w:pPr>
      <w:jc w:val="center"/>
    </w:pPr>
    <w:rPr>
      <w:sz w:val="18"/>
      <w:lang w:val="en-GB" w:eastAsia="es-ES"/>
    </w:rPr>
  </w:style>
  <w:style w:type="paragraph" w:styleId="Title">
    <w:name w:val="Title"/>
    <w:basedOn w:val="Normal"/>
    <w:next w:val="Normal"/>
    <w:link w:val="TitleChar"/>
    <w:uiPriority w:val="10"/>
    <w:qFormat/>
    <w:rsid w:val="008A1CEC"/>
    <w:pPr>
      <w:spacing w:before="240" w:after="60"/>
      <w:jc w:val="center"/>
      <w:outlineLvl w:val="0"/>
    </w:pPr>
    <w:rPr>
      <w:rFonts w:ascii="Calibri Light" w:eastAsia="DengXian Light" w:hAnsi="Calibri Light" w:cs="Angsana New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8A1CEC"/>
    <w:rPr>
      <w:rFonts w:ascii="Calibri Light" w:eastAsia="DengXian Light" w:hAnsi="Calibri Light" w:cs="Angsana New"/>
      <w:b/>
      <w:bCs/>
      <w:kern w:val="28"/>
      <w:sz w:val="32"/>
      <w:szCs w:val="32"/>
      <w:lang w:val="it-IT" w:eastAsia="it-IT" w:bidi="ar-SA"/>
    </w:rPr>
  </w:style>
  <w:style w:type="paragraph" w:customStyle="1" w:styleId="EndNoteBibliography">
    <w:name w:val="EndNote Bibliography"/>
    <w:basedOn w:val="Normal"/>
    <w:link w:val="EndNoteBibliographyChar"/>
    <w:rsid w:val="007501CA"/>
    <w:pPr>
      <w:jc w:val="both"/>
    </w:pPr>
    <w:rPr>
      <w:noProof/>
      <w:sz w:val="20"/>
      <w:lang w:val="es-ES" w:eastAsia="es-ES"/>
    </w:rPr>
  </w:style>
  <w:style w:type="character" w:customStyle="1" w:styleId="EndNoteBibliographyChar">
    <w:name w:val="EndNote Bibliography Char"/>
    <w:link w:val="EndNoteBibliography"/>
    <w:rsid w:val="007501CA"/>
    <w:rPr>
      <w:noProof/>
      <w:szCs w:val="24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40FD1-9DA2-41BF-91FF-B85CFBB9F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2022-10-15T06:12:00Z</dcterms:created>
  <dcterms:modified xsi:type="dcterms:W3CDTF">2022-10-15T06:12:00Z</dcterms:modified>
</cp:coreProperties>
</file>