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480" w:lineRule="auto"/>
      </w:pPr>
      <w:r>
        <w:rPr/>
        <w:t>Quality of Care Index (QCI) for Liver Cancer; Global, Regional, and National Trends from 1990 to 2019</w:t>
      </w:r>
    </w:p>
    <w:p>
      <w:pPr>
        <w:pStyle w:val="BodyText"/>
        <w:spacing w:line="480" w:lineRule="auto"/>
        <w:ind w:left="100" w:right="3568"/>
      </w:pPr>
      <w:r>
        <w:rPr/>
        <w:t>Seyyed-Hadi Ghamari, Negar Rezaei (Corresponding author) Tehran University of Medical Sciences, Tehran, Iran</w:t>
      </w:r>
    </w:p>
    <w:p>
      <w:pPr>
        <w:pStyle w:val="BodyText"/>
        <w:spacing w:before="10"/>
        <w:rPr>
          <w:sz w:val="20"/>
        </w:rPr>
      </w:pPr>
    </w:p>
    <w:p>
      <w:pPr>
        <w:pStyle w:val="Heading1"/>
      </w:pPr>
      <w:r>
        <w:rPr/>
        <w:t>Abstract</w:t>
      </w:r>
    </w:p>
    <w:p>
      <w:pPr>
        <w:pStyle w:val="BodyText"/>
        <w:rPr>
          <w:b/>
        </w:rPr>
      </w:pPr>
    </w:p>
    <w:p>
      <w:pPr>
        <w:pStyle w:val="BodyText"/>
        <w:spacing w:line="480" w:lineRule="auto"/>
        <w:ind w:left="100" w:right="113"/>
        <w:jc w:val="both"/>
      </w:pPr>
      <w:r>
        <w:rPr/>
        <w:t>Liver</w:t>
      </w:r>
      <w:r>
        <w:rPr>
          <w:spacing w:val="-13"/>
        </w:rPr>
        <w:t> </w:t>
      </w:r>
      <w:r>
        <w:rPr/>
        <w:t>cancer</w:t>
      </w:r>
      <w:r>
        <w:rPr>
          <w:spacing w:val="-13"/>
        </w:rPr>
        <w:t> </w:t>
      </w:r>
      <w:r>
        <w:rPr/>
        <w:t>(LC)</w:t>
      </w:r>
      <w:r>
        <w:rPr>
          <w:spacing w:val="-12"/>
        </w:rPr>
        <w:t> </w:t>
      </w:r>
      <w:r>
        <w:rPr/>
        <w:t>is</w:t>
      </w:r>
      <w:r>
        <w:rPr>
          <w:spacing w:val="-11"/>
        </w:rPr>
        <w:t> </w:t>
      </w:r>
      <w:r>
        <w:rPr/>
        <w:t>the</w:t>
      </w:r>
      <w:r>
        <w:rPr>
          <w:spacing w:val="-12"/>
        </w:rPr>
        <w:t> </w:t>
      </w:r>
      <w:r>
        <w:rPr/>
        <w:t>6</w:t>
      </w:r>
      <w:r>
        <w:rPr>
          <w:vertAlign w:val="superscript"/>
        </w:rPr>
        <w:t>th</w:t>
      </w:r>
      <w:r>
        <w:rPr>
          <w:spacing w:val="-13"/>
          <w:vertAlign w:val="baseline"/>
        </w:rPr>
        <w:t> </w:t>
      </w:r>
      <w:r>
        <w:rPr>
          <w:vertAlign w:val="baseline"/>
        </w:rPr>
        <w:t>most</w:t>
      </w:r>
      <w:r>
        <w:rPr>
          <w:spacing w:val="-11"/>
          <w:vertAlign w:val="baseline"/>
        </w:rPr>
        <w:t> </w:t>
      </w:r>
      <w:r>
        <w:rPr>
          <w:vertAlign w:val="baseline"/>
        </w:rPr>
        <w:t>common</w:t>
      </w:r>
      <w:r>
        <w:rPr>
          <w:spacing w:val="-13"/>
          <w:vertAlign w:val="baseline"/>
        </w:rPr>
        <w:t> </w:t>
      </w:r>
      <w:r>
        <w:rPr>
          <w:vertAlign w:val="baseline"/>
        </w:rPr>
        <w:t>diagnosed</w:t>
      </w:r>
      <w:r>
        <w:rPr>
          <w:spacing w:val="-12"/>
          <w:vertAlign w:val="baseline"/>
        </w:rPr>
        <w:t> </w:t>
      </w:r>
      <w:r>
        <w:rPr>
          <w:vertAlign w:val="baseline"/>
        </w:rPr>
        <w:t>cancer</w:t>
      </w:r>
      <w:r>
        <w:rPr>
          <w:spacing w:val="-12"/>
          <w:vertAlign w:val="baseline"/>
        </w:rPr>
        <w:t> </w:t>
      </w:r>
      <w:r>
        <w:rPr>
          <w:vertAlign w:val="baseline"/>
        </w:rPr>
        <w:t>and</w:t>
      </w:r>
      <w:r>
        <w:rPr>
          <w:spacing w:val="-12"/>
          <w:vertAlign w:val="baseline"/>
        </w:rPr>
        <w:t> </w:t>
      </w:r>
      <w:r>
        <w:rPr>
          <w:vertAlign w:val="baseline"/>
        </w:rPr>
        <w:t>ranked</w:t>
      </w:r>
      <w:r>
        <w:rPr>
          <w:spacing w:val="-11"/>
          <w:vertAlign w:val="baseline"/>
        </w:rPr>
        <w:t> </w:t>
      </w:r>
      <w:r>
        <w:rPr>
          <w:vertAlign w:val="baseline"/>
        </w:rPr>
        <w:t>4</w:t>
      </w:r>
      <w:r>
        <w:rPr>
          <w:vertAlign w:val="superscript"/>
        </w:rPr>
        <w:t>th</w:t>
      </w:r>
      <w:r>
        <w:rPr>
          <w:spacing w:val="-10"/>
          <w:vertAlign w:val="baseline"/>
        </w:rPr>
        <w:t> </w:t>
      </w:r>
      <w:r>
        <w:rPr>
          <w:vertAlign w:val="baseline"/>
        </w:rPr>
        <w:t>in</w:t>
      </w:r>
      <w:r>
        <w:rPr>
          <w:spacing w:val="-14"/>
          <w:vertAlign w:val="baseline"/>
        </w:rPr>
        <w:t> </w:t>
      </w:r>
      <w:r>
        <w:rPr>
          <w:vertAlign w:val="baseline"/>
        </w:rPr>
        <w:t>cancer-related</w:t>
      </w:r>
      <w:r>
        <w:rPr>
          <w:spacing w:val="-12"/>
          <w:vertAlign w:val="baseline"/>
        </w:rPr>
        <w:t> </w:t>
      </w:r>
      <w:r>
        <w:rPr>
          <w:vertAlign w:val="baseline"/>
        </w:rPr>
        <w:t>deaths (1). World Health Organization has reportedly apprised health authorities of that the number of deaths due to LC will have surpassed one million by 2030 (2). Although the burden of the cancer and its underlying causes on humankind is colossal, there appear to be heterogeneities in coping approaches, and the implementation of current professional knowledge to achieve desired health outcomes has not been fruitful (3). The aim of this study was to assess the quality of care of liver cancer and its underlying conditions in global, regional, and national levels from 1990 to 2019. Data of incidence, prevalence, death, and disability-adjusted-life-years (DALYs) of LC and underlying causes including Hepatitis-B-Virus (HBV), Hepatitis-C-Virus (HCV), alcohol use, non-alcoholic-steatohepatitis (NASH), and other causes were obtained from Global Burden of Diseases study 2019. Principal-Component-Analysis was applied in order to combine age- standardized mortality-to-incidence-ratio, disability-adjusted-life-years-to-prevalence-ratio, prevalence-to-incidence-ratio, and years-of-life-lost-to-years-lived-with-disability-into a single proxy</w:t>
      </w:r>
      <w:r>
        <w:rPr>
          <w:spacing w:val="-8"/>
          <w:vertAlign w:val="baseline"/>
        </w:rPr>
        <w:t> </w:t>
      </w:r>
      <w:r>
        <w:rPr>
          <w:vertAlign w:val="baseline"/>
        </w:rPr>
        <w:t>named</w:t>
      </w:r>
      <w:r>
        <w:rPr>
          <w:spacing w:val="-7"/>
          <w:vertAlign w:val="baseline"/>
        </w:rPr>
        <w:t> </w:t>
      </w:r>
      <w:r>
        <w:rPr>
          <w:vertAlign w:val="baseline"/>
        </w:rPr>
        <w:t>Quality-of-Care-Index</w:t>
      </w:r>
      <w:r>
        <w:rPr>
          <w:spacing w:val="-6"/>
          <w:vertAlign w:val="baseline"/>
        </w:rPr>
        <w:t> </w:t>
      </w:r>
      <w:r>
        <w:rPr>
          <w:vertAlign w:val="baseline"/>
        </w:rPr>
        <w:t>(QCI).</w:t>
      </w:r>
      <w:r>
        <w:rPr>
          <w:spacing w:val="-7"/>
          <w:vertAlign w:val="baseline"/>
        </w:rPr>
        <w:t> </w:t>
      </w:r>
      <w:r>
        <w:rPr>
          <w:vertAlign w:val="baseline"/>
        </w:rPr>
        <w:t>Gender</w:t>
      </w:r>
      <w:r>
        <w:rPr>
          <w:spacing w:val="-7"/>
          <w:vertAlign w:val="baseline"/>
        </w:rPr>
        <w:t> </w:t>
      </w:r>
      <w:r>
        <w:rPr>
          <w:vertAlign w:val="baseline"/>
        </w:rPr>
        <w:t>disparity</w:t>
      </w:r>
      <w:r>
        <w:rPr>
          <w:spacing w:val="-6"/>
          <w:vertAlign w:val="baseline"/>
        </w:rPr>
        <w:t> </w:t>
      </w:r>
      <w:r>
        <w:rPr>
          <w:vertAlign w:val="baseline"/>
        </w:rPr>
        <w:t>ratio</w:t>
      </w:r>
      <w:r>
        <w:rPr>
          <w:spacing w:val="-7"/>
          <w:vertAlign w:val="baseline"/>
        </w:rPr>
        <w:t> </w:t>
      </w:r>
      <w:r>
        <w:rPr>
          <w:vertAlign w:val="baseline"/>
        </w:rPr>
        <w:t>was</w:t>
      </w:r>
      <w:r>
        <w:rPr>
          <w:spacing w:val="-6"/>
          <w:vertAlign w:val="baseline"/>
        </w:rPr>
        <w:t> </w:t>
      </w:r>
      <w:r>
        <w:rPr>
          <w:vertAlign w:val="baseline"/>
        </w:rPr>
        <w:t>used</w:t>
      </w:r>
      <w:r>
        <w:rPr>
          <w:spacing w:val="-4"/>
          <w:vertAlign w:val="baseline"/>
        </w:rPr>
        <w:t> </w:t>
      </w:r>
      <w:r>
        <w:rPr>
          <w:vertAlign w:val="baseline"/>
        </w:rPr>
        <w:t>to</w:t>
      </w:r>
      <w:r>
        <w:rPr>
          <w:spacing w:val="-6"/>
          <w:vertAlign w:val="baseline"/>
        </w:rPr>
        <w:t> </w:t>
      </w:r>
      <w:r>
        <w:rPr>
          <w:vertAlign w:val="baseline"/>
        </w:rPr>
        <w:t>assess</w:t>
      </w:r>
      <w:r>
        <w:rPr>
          <w:spacing w:val="-6"/>
          <w:vertAlign w:val="baseline"/>
        </w:rPr>
        <w:t> </w:t>
      </w:r>
      <w:r>
        <w:rPr>
          <w:vertAlign w:val="baseline"/>
        </w:rPr>
        <w:t>the</w:t>
      </w:r>
      <w:r>
        <w:rPr>
          <w:spacing w:val="-7"/>
          <w:vertAlign w:val="baseline"/>
        </w:rPr>
        <w:t> </w:t>
      </w:r>
      <w:r>
        <w:rPr>
          <w:vertAlign w:val="baseline"/>
        </w:rPr>
        <w:t>disparity in</w:t>
      </w:r>
      <w:r>
        <w:rPr>
          <w:spacing w:val="-3"/>
          <w:vertAlign w:val="baseline"/>
        </w:rPr>
        <w:t> </w:t>
      </w:r>
      <w:r>
        <w:rPr>
          <w:vertAlign w:val="baseline"/>
        </w:rPr>
        <w:t>quality</w:t>
      </w:r>
      <w:r>
        <w:rPr>
          <w:spacing w:val="-3"/>
          <w:vertAlign w:val="baseline"/>
        </w:rPr>
        <w:t> </w:t>
      </w:r>
      <w:r>
        <w:rPr>
          <w:vertAlign w:val="baseline"/>
        </w:rPr>
        <w:t>of</w:t>
      </w:r>
      <w:r>
        <w:rPr>
          <w:spacing w:val="-5"/>
          <w:vertAlign w:val="baseline"/>
        </w:rPr>
        <w:t> </w:t>
      </w:r>
      <w:r>
        <w:rPr>
          <w:vertAlign w:val="baseline"/>
        </w:rPr>
        <w:t>care</w:t>
      </w:r>
      <w:r>
        <w:rPr>
          <w:spacing w:val="-5"/>
          <w:vertAlign w:val="baseline"/>
        </w:rPr>
        <w:t> </w:t>
      </w:r>
      <w:r>
        <w:rPr>
          <w:vertAlign w:val="baseline"/>
        </w:rPr>
        <w:t>among</w:t>
      </w:r>
      <w:r>
        <w:rPr>
          <w:spacing w:val="-3"/>
          <w:vertAlign w:val="baseline"/>
        </w:rPr>
        <w:t> </w:t>
      </w:r>
      <w:r>
        <w:rPr>
          <w:vertAlign w:val="baseline"/>
        </w:rPr>
        <w:t>sexes.</w:t>
      </w:r>
      <w:r>
        <w:rPr>
          <w:spacing w:val="-3"/>
          <w:vertAlign w:val="baseline"/>
        </w:rPr>
        <w:t> </w:t>
      </w:r>
      <w:r>
        <w:rPr>
          <w:vertAlign w:val="baseline"/>
        </w:rPr>
        <w:t>The</w:t>
      </w:r>
      <w:r>
        <w:rPr>
          <w:spacing w:val="-5"/>
          <w:vertAlign w:val="baseline"/>
        </w:rPr>
        <w:t> </w:t>
      </w:r>
      <w:r>
        <w:rPr>
          <w:vertAlign w:val="baseline"/>
        </w:rPr>
        <w:t>age-standardized</w:t>
      </w:r>
      <w:r>
        <w:rPr>
          <w:spacing w:val="-4"/>
          <w:vertAlign w:val="baseline"/>
        </w:rPr>
        <w:t> </w:t>
      </w:r>
      <w:r>
        <w:rPr>
          <w:vertAlign w:val="baseline"/>
        </w:rPr>
        <w:t>QCI</w:t>
      </w:r>
      <w:r>
        <w:rPr>
          <w:spacing w:val="-6"/>
          <w:vertAlign w:val="baseline"/>
        </w:rPr>
        <w:t> </w:t>
      </w:r>
      <w:r>
        <w:rPr>
          <w:vertAlign w:val="baseline"/>
        </w:rPr>
        <w:t>score</w:t>
      </w:r>
      <w:r>
        <w:rPr>
          <w:spacing w:val="-6"/>
          <w:vertAlign w:val="baseline"/>
        </w:rPr>
        <w:t> </w:t>
      </w:r>
      <w:r>
        <w:rPr>
          <w:vertAlign w:val="baseline"/>
        </w:rPr>
        <w:t>of</w:t>
      </w:r>
      <w:r>
        <w:rPr>
          <w:spacing w:val="-5"/>
          <w:vertAlign w:val="baseline"/>
        </w:rPr>
        <w:t> </w:t>
      </w:r>
      <w:r>
        <w:rPr>
          <w:vertAlign w:val="baseline"/>
        </w:rPr>
        <w:t>liver</w:t>
      </w:r>
      <w:r>
        <w:rPr>
          <w:spacing w:val="-4"/>
          <w:vertAlign w:val="baseline"/>
        </w:rPr>
        <w:t> </w:t>
      </w:r>
      <w:r>
        <w:rPr>
          <w:vertAlign w:val="baseline"/>
        </w:rPr>
        <w:t>cancer</w:t>
      </w:r>
      <w:r>
        <w:rPr>
          <w:spacing w:val="-5"/>
          <w:vertAlign w:val="baseline"/>
        </w:rPr>
        <w:t> </w:t>
      </w:r>
      <w:r>
        <w:rPr>
          <w:vertAlign w:val="baseline"/>
        </w:rPr>
        <w:t>was</w:t>
      </w:r>
      <w:r>
        <w:rPr>
          <w:spacing w:val="-4"/>
          <w:vertAlign w:val="baseline"/>
        </w:rPr>
        <w:t> </w:t>
      </w:r>
      <w:r>
        <w:rPr>
          <w:vertAlign w:val="baseline"/>
        </w:rPr>
        <w:t>55.7</w:t>
      </w:r>
      <w:r>
        <w:rPr>
          <w:spacing w:val="-4"/>
          <w:vertAlign w:val="baseline"/>
        </w:rPr>
        <w:t> </w:t>
      </w:r>
      <w:r>
        <w:rPr>
          <w:vertAlign w:val="baseline"/>
        </w:rPr>
        <w:t>in</w:t>
      </w:r>
      <w:r>
        <w:rPr>
          <w:spacing w:val="-2"/>
          <w:vertAlign w:val="baseline"/>
        </w:rPr>
        <w:t> </w:t>
      </w:r>
      <w:r>
        <w:rPr>
          <w:vertAlign w:val="baseline"/>
        </w:rPr>
        <w:t>global scale in 2019. From 1990 to 2019, the QCI score of liver cancer showed constantly increasing trends.</w:t>
      </w:r>
      <w:r>
        <w:rPr>
          <w:spacing w:val="-4"/>
          <w:vertAlign w:val="baseline"/>
        </w:rPr>
        <w:t> </w:t>
      </w:r>
      <w:r>
        <w:rPr>
          <w:vertAlign w:val="baseline"/>
        </w:rPr>
        <w:t>The</w:t>
      </w:r>
      <w:r>
        <w:rPr>
          <w:spacing w:val="-5"/>
          <w:vertAlign w:val="baseline"/>
        </w:rPr>
        <w:t> </w:t>
      </w:r>
      <w:r>
        <w:rPr>
          <w:vertAlign w:val="baseline"/>
        </w:rPr>
        <w:t>age-standardized</w:t>
      </w:r>
      <w:r>
        <w:rPr>
          <w:spacing w:val="-4"/>
          <w:vertAlign w:val="baseline"/>
        </w:rPr>
        <w:t> </w:t>
      </w:r>
      <w:r>
        <w:rPr>
          <w:vertAlign w:val="baseline"/>
        </w:rPr>
        <w:t>QCI</w:t>
      </w:r>
      <w:r>
        <w:rPr>
          <w:spacing w:val="-7"/>
          <w:vertAlign w:val="baseline"/>
        </w:rPr>
        <w:t> </w:t>
      </w:r>
      <w:r>
        <w:rPr>
          <w:vertAlign w:val="baseline"/>
        </w:rPr>
        <w:t>scores</w:t>
      </w:r>
      <w:r>
        <w:rPr>
          <w:spacing w:val="-4"/>
          <w:vertAlign w:val="baseline"/>
        </w:rPr>
        <w:t> </w:t>
      </w:r>
      <w:r>
        <w:rPr>
          <w:vertAlign w:val="baseline"/>
        </w:rPr>
        <w:t>were</w:t>
      </w:r>
      <w:r>
        <w:rPr>
          <w:spacing w:val="-5"/>
          <w:vertAlign w:val="baseline"/>
        </w:rPr>
        <w:t> </w:t>
      </w:r>
      <w:r>
        <w:rPr>
          <w:vertAlign w:val="baseline"/>
        </w:rPr>
        <w:t>consistently</w:t>
      </w:r>
      <w:r>
        <w:rPr>
          <w:spacing w:val="-3"/>
          <w:vertAlign w:val="baseline"/>
        </w:rPr>
        <w:t> </w:t>
      </w:r>
      <w:r>
        <w:rPr>
          <w:vertAlign w:val="baseline"/>
        </w:rPr>
        <w:t>highest</w:t>
      </w:r>
      <w:r>
        <w:rPr>
          <w:spacing w:val="-4"/>
          <w:vertAlign w:val="baseline"/>
        </w:rPr>
        <w:t> </w:t>
      </w:r>
      <w:r>
        <w:rPr>
          <w:vertAlign w:val="baseline"/>
        </w:rPr>
        <w:t>and</w:t>
      </w:r>
      <w:r>
        <w:rPr>
          <w:spacing w:val="-4"/>
          <w:vertAlign w:val="baseline"/>
        </w:rPr>
        <w:t> </w:t>
      </w:r>
      <w:r>
        <w:rPr>
          <w:vertAlign w:val="baseline"/>
        </w:rPr>
        <w:t>lowest</w:t>
      </w:r>
      <w:r>
        <w:rPr>
          <w:spacing w:val="-3"/>
          <w:vertAlign w:val="baseline"/>
        </w:rPr>
        <w:t> </w:t>
      </w:r>
      <w:r>
        <w:rPr>
          <w:vertAlign w:val="baseline"/>
        </w:rPr>
        <w:t>among</w:t>
      </w:r>
      <w:r>
        <w:rPr>
          <w:spacing w:val="-3"/>
          <w:vertAlign w:val="baseline"/>
        </w:rPr>
        <w:t> </w:t>
      </w:r>
      <w:r>
        <w:rPr>
          <w:vertAlign w:val="baseline"/>
        </w:rPr>
        <w:t>countries</w:t>
      </w:r>
      <w:r>
        <w:rPr>
          <w:spacing w:val="-3"/>
          <w:vertAlign w:val="baseline"/>
        </w:rPr>
        <w:t> </w:t>
      </w:r>
      <w:r>
        <w:rPr>
          <w:vertAlign w:val="baseline"/>
        </w:rPr>
        <w:t>of high income (83.2 in 2019) and Sub-Saharan Africa (27.9 in 2019) super-region across the</w:t>
      </w:r>
      <w:r>
        <w:rPr>
          <w:spacing w:val="23"/>
          <w:vertAlign w:val="baseline"/>
        </w:rPr>
        <w:t> </w:t>
      </w:r>
      <w:r>
        <w:rPr>
          <w:vertAlign w:val="baseline"/>
        </w:rPr>
        <w:t>years,</w:t>
      </w:r>
    </w:p>
    <w:p>
      <w:pPr>
        <w:spacing w:after="0" w:line="480" w:lineRule="auto"/>
        <w:jc w:val="both"/>
        <w:sectPr>
          <w:type w:val="continuous"/>
          <w:pgSz w:w="12240" w:h="15840"/>
          <w:pgMar w:top="1380" w:bottom="280" w:left="1340" w:right="1320"/>
        </w:sectPr>
      </w:pPr>
    </w:p>
    <w:p>
      <w:pPr>
        <w:pStyle w:val="BodyText"/>
        <w:spacing w:line="480" w:lineRule="auto" w:before="79"/>
        <w:ind w:left="100" w:right="115"/>
        <w:jc w:val="both"/>
      </w:pPr>
      <w:r>
        <w:rPr/>
        <w:t>respectively. Japan (QCI= 100), Finland (QCI=91.6), and the Republic of Korea (QCI= 91.2)</w:t>
      </w:r>
      <w:r>
        <w:rPr>
          <w:spacing w:val="-17"/>
        </w:rPr>
        <w:t> </w:t>
      </w:r>
      <w:r>
        <w:rPr/>
        <w:t>had the highest QCI scores. The global QCI scores of LC due to HBV, HCV, alcohol use, NASH,</w:t>
      </w:r>
      <w:r>
        <w:rPr>
          <w:spacing w:val="-43"/>
        </w:rPr>
        <w:t> </w:t>
      </w:r>
      <w:r>
        <w:rPr/>
        <w:t>and other causes reached 53.5, 61.8, 54.3, 52.9, and 63.7, respectively in 2019. The overall age- standardized</w:t>
      </w:r>
      <w:r>
        <w:rPr>
          <w:spacing w:val="-7"/>
        </w:rPr>
        <w:t> </w:t>
      </w:r>
      <w:r>
        <w:rPr/>
        <w:t>gender</w:t>
      </w:r>
      <w:r>
        <w:rPr>
          <w:spacing w:val="-8"/>
        </w:rPr>
        <w:t> </w:t>
      </w:r>
      <w:r>
        <w:rPr/>
        <w:t>disparity</w:t>
      </w:r>
      <w:r>
        <w:rPr>
          <w:spacing w:val="-6"/>
        </w:rPr>
        <w:t> </w:t>
      </w:r>
      <w:r>
        <w:rPr/>
        <w:t>ratio</w:t>
      </w:r>
      <w:r>
        <w:rPr>
          <w:spacing w:val="-7"/>
        </w:rPr>
        <w:t> </w:t>
      </w:r>
      <w:r>
        <w:rPr/>
        <w:t>was</w:t>
      </w:r>
      <w:r>
        <w:rPr>
          <w:spacing w:val="-6"/>
        </w:rPr>
        <w:t> </w:t>
      </w:r>
      <w:r>
        <w:rPr/>
        <w:t>0.9</w:t>
      </w:r>
      <w:r>
        <w:rPr>
          <w:spacing w:val="-7"/>
        </w:rPr>
        <w:t> </w:t>
      </w:r>
      <w:r>
        <w:rPr/>
        <w:t>by</w:t>
      </w:r>
      <w:r>
        <w:rPr>
          <w:spacing w:val="-6"/>
        </w:rPr>
        <w:t> </w:t>
      </w:r>
      <w:r>
        <w:rPr/>
        <w:t>2019,</w:t>
      </w:r>
      <w:r>
        <w:rPr>
          <w:spacing w:val="-7"/>
        </w:rPr>
        <w:t> </w:t>
      </w:r>
      <w:r>
        <w:rPr/>
        <w:t>suggesting</w:t>
      </w:r>
      <w:r>
        <w:rPr>
          <w:spacing w:val="-7"/>
        </w:rPr>
        <w:t> </w:t>
      </w:r>
      <w:r>
        <w:rPr/>
        <w:t>a</w:t>
      </w:r>
      <w:r>
        <w:rPr>
          <w:spacing w:val="-7"/>
        </w:rPr>
        <w:t> </w:t>
      </w:r>
      <w:r>
        <w:rPr/>
        <w:t>slightly</w:t>
      </w:r>
      <w:r>
        <w:rPr>
          <w:spacing w:val="-7"/>
        </w:rPr>
        <w:t> </w:t>
      </w:r>
      <w:r>
        <w:rPr/>
        <w:t>better</w:t>
      </w:r>
      <w:r>
        <w:rPr>
          <w:spacing w:val="-7"/>
        </w:rPr>
        <w:t> </w:t>
      </w:r>
      <w:r>
        <w:rPr/>
        <w:t>quality</w:t>
      </w:r>
      <w:r>
        <w:rPr>
          <w:spacing w:val="-7"/>
        </w:rPr>
        <w:t> </w:t>
      </w:r>
      <w:r>
        <w:rPr/>
        <w:t>of</w:t>
      </w:r>
      <w:r>
        <w:rPr>
          <w:spacing w:val="-7"/>
        </w:rPr>
        <w:t> </w:t>
      </w:r>
      <w:r>
        <w:rPr/>
        <w:t>care</w:t>
      </w:r>
      <w:r>
        <w:rPr>
          <w:spacing w:val="-9"/>
        </w:rPr>
        <w:t> </w:t>
      </w:r>
      <w:r>
        <w:rPr/>
        <w:t>for liver cancer among males. We showed improving trends in the quality of care of</w:t>
      </w:r>
      <w:r>
        <w:rPr>
          <w:spacing w:val="-44"/>
        </w:rPr>
        <w:t> </w:t>
      </w:r>
      <w:r>
        <w:rPr/>
        <w:t>LC during 1990- 2019; however, a wide gap is shown between countries regarding coping approaches. Given inequities in healthcare quality, there is an urgent need to address discrimination and bridge the gap.</w:t>
      </w:r>
    </w:p>
    <w:p>
      <w:pPr>
        <w:pStyle w:val="BodyText"/>
        <w:rPr>
          <w:sz w:val="21"/>
        </w:rPr>
      </w:pPr>
    </w:p>
    <w:p>
      <w:pPr>
        <w:pStyle w:val="Heading1"/>
      </w:pPr>
      <w:r>
        <w:rPr/>
        <w:t>Biography</w:t>
      </w:r>
    </w:p>
    <w:p>
      <w:pPr>
        <w:pStyle w:val="BodyText"/>
        <w:rPr>
          <w:b/>
        </w:rPr>
      </w:pPr>
    </w:p>
    <w:p>
      <w:pPr>
        <w:pStyle w:val="BodyText"/>
        <w:spacing w:line="480" w:lineRule="auto"/>
        <w:ind w:left="100" w:right="118"/>
        <w:jc w:val="both"/>
      </w:pPr>
      <w:r>
        <w:rPr/>
        <w:t>Seyyed-Hadi Ghamari: I am an MD/MPH alumnus and currently a post-doctoral research fellow in the non-communicable diseases research center (NCDRC), Endocrinology and Metabolism Research Institute, Tehran University of Medical Sciences, Tehran, Iran. I have published 25 scholarly articles in peer-reviewed journals.</w:t>
      </w:r>
    </w:p>
    <w:p>
      <w:pPr>
        <w:pStyle w:val="BodyText"/>
        <w:spacing w:line="480" w:lineRule="auto"/>
        <w:ind w:left="100" w:right="123"/>
        <w:jc w:val="both"/>
      </w:pPr>
      <w:r>
        <w:rPr/>
        <w:t>Negar Rezaei: I am an MD/ PhD in Epidemiology graduate, and currently associate professor of Tehran University of Medical Sciences. I have mentored, supervised, collaborated in various research projects, and published over a hundred papers in various journals.</w:t>
      </w:r>
    </w:p>
    <w:p>
      <w:pPr>
        <w:pStyle w:val="BodyText"/>
        <w:spacing w:before="10"/>
        <w:rPr>
          <w:sz w:val="20"/>
        </w:rPr>
      </w:pPr>
    </w:p>
    <w:p>
      <w:pPr>
        <w:pStyle w:val="Heading1"/>
        <w:spacing w:before="1"/>
      </w:pPr>
      <w:r>
        <w:rPr/>
        <w:t>References</w:t>
      </w:r>
    </w:p>
    <w:p>
      <w:pPr>
        <w:pStyle w:val="BodyText"/>
        <w:spacing w:before="11"/>
        <w:rPr>
          <w:b/>
          <w:sz w:val="23"/>
        </w:rPr>
      </w:pPr>
    </w:p>
    <w:p>
      <w:pPr>
        <w:pStyle w:val="ListParagraph"/>
        <w:numPr>
          <w:ilvl w:val="0"/>
          <w:numId w:val="1"/>
        </w:numPr>
        <w:tabs>
          <w:tab w:pos="461" w:val="left" w:leader="none"/>
        </w:tabs>
        <w:spacing w:line="480" w:lineRule="auto" w:before="0" w:after="0"/>
        <w:ind w:left="460" w:right="113" w:hanging="360"/>
        <w:jc w:val="both"/>
        <w:rPr>
          <w:sz w:val="24"/>
        </w:rPr>
      </w:pPr>
      <w:r>
        <w:rPr>
          <w:sz w:val="24"/>
        </w:rPr>
        <w:t>Sung, H. </w:t>
      </w:r>
      <w:r>
        <w:rPr>
          <w:i/>
          <w:sz w:val="24"/>
        </w:rPr>
        <w:t>et al. </w:t>
      </w:r>
      <w:r>
        <w:rPr>
          <w:sz w:val="24"/>
        </w:rPr>
        <w:t>Global Cancer Statistics 2020: GLOBOCAN Estimates of Incidence and Mortality Worldwide for 36 Cancers in 185 Countries. </w:t>
      </w:r>
      <w:r>
        <w:rPr>
          <w:i/>
          <w:sz w:val="24"/>
        </w:rPr>
        <w:t>CA. Cancer J. Clin. </w:t>
      </w:r>
      <w:r>
        <w:rPr>
          <w:b/>
          <w:sz w:val="24"/>
        </w:rPr>
        <w:t>71</w:t>
      </w:r>
      <w:r>
        <w:rPr>
          <w:sz w:val="24"/>
        </w:rPr>
        <w:t>, 209–249 (2021).</w:t>
      </w:r>
    </w:p>
    <w:p>
      <w:pPr>
        <w:pStyle w:val="ListParagraph"/>
        <w:numPr>
          <w:ilvl w:val="0"/>
          <w:numId w:val="1"/>
        </w:numPr>
        <w:tabs>
          <w:tab w:pos="461" w:val="left" w:leader="none"/>
        </w:tabs>
        <w:spacing w:line="240" w:lineRule="auto" w:before="1" w:after="0"/>
        <w:ind w:left="460" w:right="0" w:hanging="361"/>
        <w:jc w:val="both"/>
        <w:rPr>
          <w:sz w:val="24"/>
        </w:rPr>
      </w:pPr>
      <w:r>
        <w:rPr>
          <w:sz w:val="24"/>
        </w:rPr>
        <w:t>WHO | Health statistics and information systems. </w:t>
      </w:r>
      <w:r>
        <w:rPr>
          <w:i/>
          <w:sz w:val="24"/>
        </w:rPr>
        <w:t>WHO</w:t>
      </w:r>
      <w:r>
        <w:rPr>
          <w:i/>
          <w:spacing w:val="-3"/>
          <w:sz w:val="24"/>
        </w:rPr>
        <w:t> </w:t>
      </w:r>
      <w:r>
        <w:rPr>
          <w:sz w:val="24"/>
        </w:rPr>
        <w:t>(2020).</w:t>
      </w:r>
    </w:p>
    <w:p>
      <w:pPr>
        <w:pStyle w:val="BodyText"/>
      </w:pPr>
    </w:p>
    <w:p>
      <w:pPr>
        <w:pStyle w:val="ListParagraph"/>
        <w:numPr>
          <w:ilvl w:val="0"/>
          <w:numId w:val="1"/>
        </w:numPr>
        <w:tabs>
          <w:tab w:pos="461" w:val="left" w:leader="none"/>
        </w:tabs>
        <w:spacing w:line="480" w:lineRule="auto" w:before="0" w:after="0"/>
        <w:ind w:left="460" w:right="121" w:hanging="360"/>
        <w:jc w:val="both"/>
        <w:rPr>
          <w:sz w:val="24"/>
        </w:rPr>
      </w:pPr>
      <w:r>
        <w:rPr>
          <w:sz w:val="24"/>
        </w:rPr>
        <w:t>Dhanasekaran, R. &amp; Talwalkar, J. A. Quality of Cancer Care in Patients with Cirrhosis and Hepatocellular Carcinoma. </w:t>
      </w:r>
      <w:r>
        <w:rPr>
          <w:i/>
          <w:sz w:val="24"/>
        </w:rPr>
        <w:t>Current Gastroenterology Reports </w:t>
      </w:r>
      <w:r>
        <w:rPr>
          <w:sz w:val="24"/>
        </w:rPr>
        <w:t>vol. 17</w:t>
      </w:r>
      <w:r>
        <w:rPr>
          <w:spacing w:val="-3"/>
          <w:sz w:val="24"/>
        </w:rPr>
        <w:t> </w:t>
      </w:r>
      <w:r>
        <w:rPr>
          <w:sz w:val="24"/>
        </w:rPr>
        <w:t>(2015).</w:t>
      </w:r>
    </w:p>
    <w:p>
      <w:pPr>
        <w:spacing w:after="0" w:line="480" w:lineRule="auto"/>
        <w:jc w:val="both"/>
        <w:rPr>
          <w:sz w:val="24"/>
        </w:rPr>
        <w:sectPr>
          <w:pgSz w:w="12240" w:h="15840"/>
          <w:pgMar w:top="1360" w:bottom="280" w:left="1340" w:right="1320"/>
        </w:sectPr>
      </w:pPr>
    </w:p>
    <w:p>
      <w:pPr>
        <w:pStyle w:val="BodyText"/>
        <w:spacing w:before="4"/>
        <w:rPr>
          <w:sz w:val="17"/>
        </w:rPr>
      </w:pPr>
    </w:p>
    <w:sectPr>
      <w:pgSz w:w="12240" w:h="15840"/>
      <w:pgMar w:top="150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460" w:hanging="360"/>
        <w:jc w:val="left"/>
      </w:pPr>
      <w:rPr>
        <w:rFonts w:hint="default" w:ascii="Times New Roman" w:hAnsi="Times New Roman" w:eastAsia="Times New Roman" w:cs="Times New Roman"/>
        <w:spacing w:val="-20"/>
        <w:w w:val="99"/>
        <w:sz w:val="24"/>
        <w:szCs w:val="24"/>
        <w:lang w:val="en-US" w:eastAsia="en-US" w:bidi="ar-SA"/>
      </w:rPr>
    </w:lvl>
    <w:lvl w:ilvl="1">
      <w:start w:val="0"/>
      <w:numFmt w:val="bullet"/>
      <w:lvlText w:val="•"/>
      <w:lvlJc w:val="left"/>
      <w:pPr>
        <w:ind w:left="1372" w:hanging="360"/>
      </w:pPr>
      <w:rPr>
        <w:rFonts w:hint="default"/>
        <w:lang w:val="en-US" w:eastAsia="en-US" w:bidi="ar-SA"/>
      </w:rPr>
    </w:lvl>
    <w:lvl w:ilvl="2">
      <w:start w:val="0"/>
      <w:numFmt w:val="bullet"/>
      <w:lvlText w:val="•"/>
      <w:lvlJc w:val="left"/>
      <w:pPr>
        <w:ind w:left="2284" w:hanging="360"/>
      </w:pPr>
      <w:rPr>
        <w:rFonts w:hint="default"/>
        <w:lang w:val="en-US" w:eastAsia="en-US" w:bidi="ar-SA"/>
      </w:rPr>
    </w:lvl>
    <w:lvl w:ilvl="3">
      <w:start w:val="0"/>
      <w:numFmt w:val="bullet"/>
      <w:lvlText w:val="•"/>
      <w:lvlJc w:val="left"/>
      <w:pPr>
        <w:ind w:left="3196" w:hanging="360"/>
      </w:pPr>
      <w:rPr>
        <w:rFonts w:hint="default"/>
        <w:lang w:val="en-US" w:eastAsia="en-US" w:bidi="ar-SA"/>
      </w:rPr>
    </w:lvl>
    <w:lvl w:ilvl="4">
      <w:start w:val="0"/>
      <w:numFmt w:val="bullet"/>
      <w:lvlText w:val="•"/>
      <w:lvlJc w:val="left"/>
      <w:pPr>
        <w:ind w:left="4108" w:hanging="360"/>
      </w:pPr>
      <w:rPr>
        <w:rFonts w:hint="default"/>
        <w:lang w:val="en-US" w:eastAsia="en-US" w:bidi="ar-SA"/>
      </w:rPr>
    </w:lvl>
    <w:lvl w:ilvl="5">
      <w:start w:val="0"/>
      <w:numFmt w:val="bullet"/>
      <w:lvlText w:val="•"/>
      <w:lvlJc w:val="left"/>
      <w:pPr>
        <w:ind w:left="5020" w:hanging="360"/>
      </w:pPr>
      <w:rPr>
        <w:rFonts w:hint="default"/>
        <w:lang w:val="en-US" w:eastAsia="en-US" w:bidi="ar-SA"/>
      </w:rPr>
    </w:lvl>
    <w:lvl w:ilvl="6">
      <w:start w:val="0"/>
      <w:numFmt w:val="bullet"/>
      <w:lvlText w:val="•"/>
      <w:lvlJc w:val="left"/>
      <w:pPr>
        <w:ind w:left="5932" w:hanging="360"/>
      </w:pPr>
      <w:rPr>
        <w:rFonts w:hint="default"/>
        <w:lang w:val="en-US" w:eastAsia="en-US" w:bidi="ar-SA"/>
      </w:rPr>
    </w:lvl>
    <w:lvl w:ilvl="7">
      <w:start w:val="0"/>
      <w:numFmt w:val="bullet"/>
      <w:lvlText w:val="•"/>
      <w:lvlJc w:val="left"/>
      <w:pPr>
        <w:ind w:left="6844" w:hanging="360"/>
      </w:pPr>
      <w:rPr>
        <w:rFonts w:hint="default"/>
        <w:lang w:val="en-US" w:eastAsia="en-US" w:bidi="ar-SA"/>
      </w:rPr>
    </w:lvl>
    <w:lvl w:ilvl="8">
      <w:start w:val="0"/>
      <w:numFmt w:val="bullet"/>
      <w:lvlText w:val="•"/>
      <w:lvlJc w:val="left"/>
      <w:pPr>
        <w:ind w:left="775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spacing w:before="60"/>
      <w:ind w:left="100" w:right="103"/>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ind w:left="460"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hadi ghamari</dc:creator>
  <dcterms:created xsi:type="dcterms:W3CDTF">2022-10-15T04:44:34Z</dcterms:created>
  <dcterms:modified xsi:type="dcterms:W3CDTF">2022-10-15T04:44:34Z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Microsoft® Word for Microsoft 365</vt:lpwstr>
  </property>
  <property fmtid="{D5CDD505-2E9C-101B-9397-08002B2CF9AE}" pid="4" name="LastSaved">
    <vt:filetime>2022-10-15T00:00:00Z</vt:filetime>
  </property>
</Properties>
</file>