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line="355" w:lineRule="auto" w:before="76"/>
        <w:ind w:left="3709" w:right="289" w:hanging="3597"/>
      </w:pPr>
      <w:r>
        <w:rPr/>
        <w:pict>
          <v:rect style="position:absolute;margin-left:26.879999pt;margin-top:270.720001pt;width:.720001pt;height:20.64pt;mso-position-horizontal-relative:page;mso-position-vertical-relative:page;z-index:15730688" filled="true" fillcolor="#000000" stroked="false">
            <v:fill type="solid"/>
            <w10:wrap type="none"/>
          </v:rect>
        </w:pict>
      </w:r>
      <w:r>
        <w:rPr/>
        <w:pict>
          <v:rect style="position:absolute;margin-left:26.879999pt;margin-top:581.039978pt;width:.720001pt;height:20.64pt;mso-position-horizontal-relative:page;mso-position-vertical-relative:page;z-index:15731200" filled="true" fillcolor="#000000" stroked="false">
            <v:fill type="solid"/>
            <w10:wrap type="none"/>
          </v:rect>
        </w:pict>
      </w:r>
      <w:r>
        <w:rPr/>
        <w:pict>
          <v:rect style="position:absolute;margin-left:26.879999pt;margin-top:643.200012pt;width:.720001pt;height:20.64pt;mso-position-horizontal-relative:page;mso-position-vertical-relative:page;z-index:15731712" filled="true" fillcolor="#000000" stroked="false">
            <v:fill type="solid"/>
            <w10:wrap type="none"/>
          </v:rect>
        </w:pict>
      </w:r>
      <w:r>
        <w:rPr/>
        <w:t>Serum Trace Element Alteration in Patients with Non-Alcoholic Fatty Liver Disease: An Evidence from Cross- sectional Study</w:t>
      </w:r>
    </w:p>
    <w:p>
      <w:pPr>
        <w:spacing w:before="211"/>
        <w:ind w:left="640" w:right="0" w:firstLine="0"/>
        <w:jc w:val="left"/>
        <w:rPr>
          <w:b/>
          <w:sz w:val="24"/>
        </w:rPr>
      </w:pPr>
      <w:r>
        <w:rPr>
          <w:b/>
          <w:sz w:val="24"/>
        </w:rPr>
        <w:t>Sharma Jatin </w:t>
      </w:r>
      <w:r>
        <w:rPr>
          <w:b/>
          <w:sz w:val="24"/>
          <w:vertAlign w:val="superscript"/>
        </w:rPr>
        <w:t>1</w:t>
      </w:r>
      <w:r>
        <w:rPr>
          <w:b/>
          <w:sz w:val="24"/>
          <w:vertAlign w:val="baseline"/>
        </w:rPr>
        <w:t>, Shalimar</w:t>
      </w:r>
      <w:r>
        <w:rPr>
          <w:b/>
          <w:sz w:val="24"/>
          <w:vertAlign w:val="superscript"/>
        </w:rPr>
        <w:t>2</w:t>
      </w:r>
      <w:r>
        <w:rPr>
          <w:b/>
          <w:sz w:val="24"/>
          <w:vertAlign w:val="baseline"/>
        </w:rPr>
        <w:t>, Pooja Gupta</w:t>
      </w:r>
      <w:r>
        <w:rPr>
          <w:b/>
          <w:sz w:val="24"/>
          <w:vertAlign w:val="superscript"/>
        </w:rPr>
        <w:t>3</w:t>
      </w:r>
    </w:p>
    <w:p>
      <w:pPr>
        <w:spacing w:before="161"/>
        <w:ind w:left="640" w:right="0" w:firstLine="0"/>
        <w:jc w:val="left"/>
        <w:rPr>
          <w:b/>
          <w:sz w:val="24"/>
        </w:rPr>
      </w:pPr>
      <w:r>
        <w:rPr>
          <w:b/>
          <w:sz w:val="24"/>
        </w:rPr>
        <w:t>All India Institute of Medical Sciences, New Delhi, India</w:t>
      </w:r>
    </w:p>
    <w:p>
      <w:pPr>
        <w:pStyle w:val="BodyText"/>
        <w:spacing w:before="0"/>
        <w:rPr>
          <w:b/>
          <w:sz w:val="26"/>
        </w:rPr>
      </w:pPr>
    </w:p>
    <w:p>
      <w:pPr>
        <w:pStyle w:val="BodyText"/>
        <w:spacing w:before="3"/>
        <w:rPr>
          <w:b/>
        </w:rPr>
      </w:pPr>
    </w:p>
    <w:p>
      <w:pPr>
        <w:spacing w:before="0"/>
        <w:ind w:left="640" w:right="0" w:firstLine="0"/>
        <w:jc w:val="left"/>
        <w:rPr>
          <w:b/>
          <w:sz w:val="24"/>
        </w:rPr>
      </w:pPr>
      <w:r>
        <w:rPr>
          <w:b/>
          <w:sz w:val="24"/>
        </w:rPr>
        <w:t>Abstract:</w:t>
      </w:r>
    </w:p>
    <w:p>
      <w:pPr>
        <w:spacing w:before="137"/>
        <w:ind w:left="640" w:right="0" w:firstLine="0"/>
        <w:jc w:val="left"/>
        <w:rPr>
          <w:b/>
          <w:sz w:val="24"/>
        </w:rPr>
      </w:pPr>
      <w:r>
        <w:rPr>
          <w:b/>
          <w:sz w:val="24"/>
        </w:rPr>
        <w:t>Objectives:</w:t>
      </w:r>
    </w:p>
    <w:p>
      <w:pPr>
        <w:pStyle w:val="BodyText"/>
        <w:spacing w:line="360" w:lineRule="auto"/>
        <w:ind w:left="640" w:right="112"/>
        <w:jc w:val="both"/>
      </w:pPr>
      <w:r>
        <w:rPr/>
        <w:pict>
          <v:rect style="position:absolute;margin-left:220.559998pt;margin-top:61.253124pt;width:2.88001pt;height:.480011pt;mso-position-horizontal-relative:page;mso-position-vertical-relative:paragraph;z-index:-15757824" filled="true" fillcolor="#b5082e" stroked="false">
            <v:fill type="solid"/>
            <w10:wrap type="none"/>
          </v:rect>
        </w:pict>
      </w:r>
      <w:r>
        <w:rPr/>
        <w:pict>
          <v:rect style="position:absolute;margin-left:263.040009pt;margin-top:61.253124pt;width:3.12pt;height:.480011pt;mso-position-horizontal-relative:page;mso-position-vertical-relative:paragraph;z-index:-15757312" filled="true" fillcolor="#b5082e" stroked="false">
            <v:fill type="solid"/>
            <w10:wrap type="none"/>
          </v:rect>
        </w:pict>
      </w:r>
      <w:r>
        <w:rPr/>
        <w:pict>
          <v:rect style="position:absolute;margin-left:509.279999pt;margin-top:61.253124pt;width:2.88004pt;height:.480011pt;mso-position-horizontal-relative:page;mso-position-vertical-relative:paragraph;z-index:-15756800" filled="true" fillcolor="#b5082e" stroked="false">
            <v:fill type="solid"/>
            <w10:wrap type="none"/>
          </v:rect>
        </w:pict>
      </w:r>
      <w:r>
        <w:rPr/>
        <w:t>Trace elements play an essential role in metabolic functions of the liver; however, their levels get altered</w:t>
      </w:r>
      <w:r>
        <w:rPr>
          <w:spacing w:val="-15"/>
        </w:rPr>
        <w:t> </w:t>
      </w:r>
      <w:r>
        <w:rPr/>
        <w:t>during</w:t>
      </w:r>
      <w:r>
        <w:rPr>
          <w:spacing w:val="-14"/>
        </w:rPr>
        <w:t> </w:t>
      </w:r>
      <w:r>
        <w:rPr/>
        <w:t>pathophysiological</w:t>
      </w:r>
      <w:r>
        <w:rPr>
          <w:spacing w:val="-15"/>
        </w:rPr>
        <w:t> </w:t>
      </w:r>
      <w:r>
        <w:rPr/>
        <w:t>states.</w:t>
      </w:r>
      <w:r>
        <w:rPr>
          <w:spacing w:val="31"/>
        </w:rPr>
        <w:t> </w:t>
      </w:r>
      <w:r>
        <w:rPr/>
        <w:t>In</w:t>
      </w:r>
      <w:r>
        <w:rPr>
          <w:spacing w:val="-14"/>
        </w:rPr>
        <w:t> </w:t>
      </w:r>
      <w:r>
        <w:rPr/>
        <w:t>this</w:t>
      </w:r>
      <w:r>
        <w:rPr>
          <w:spacing w:val="-14"/>
        </w:rPr>
        <w:t> </w:t>
      </w:r>
      <w:r>
        <w:rPr/>
        <w:t>study,</w:t>
      </w:r>
      <w:r>
        <w:rPr>
          <w:spacing w:val="-15"/>
        </w:rPr>
        <w:t> </w:t>
      </w:r>
      <w:r>
        <w:rPr/>
        <w:t>we</w:t>
      </w:r>
      <w:r>
        <w:rPr>
          <w:spacing w:val="-14"/>
        </w:rPr>
        <w:t> </w:t>
      </w:r>
      <w:r>
        <w:rPr/>
        <w:t>aimed</w:t>
      </w:r>
      <w:r>
        <w:rPr>
          <w:spacing w:val="-15"/>
        </w:rPr>
        <w:t> </w:t>
      </w:r>
      <w:r>
        <w:rPr/>
        <w:t>to</w:t>
      </w:r>
      <w:r>
        <w:rPr>
          <w:spacing w:val="-14"/>
        </w:rPr>
        <w:t> </w:t>
      </w:r>
      <w:r>
        <w:rPr/>
        <w:t>evaluate</w:t>
      </w:r>
      <w:r>
        <w:rPr>
          <w:spacing w:val="-14"/>
        </w:rPr>
        <w:t> </w:t>
      </w:r>
      <w:r>
        <w:rPr/>
        <w:t>and</w:t>
      </w:r>
      <w:r>
        <w:rPr>
          <w:spacing w:val="-15"/>
        </w:rPr>
        <w:t> </w:t>
      </w:r>
      <w:r>
        <w:rPr/>
        <w:t>compare</w:t>
      </w:r>
      <w:r>
        <w:rPr>
          <w:spacing w:val="-14"/>
        </w:rPr>
        <w:t> </w:t>
      </w:r>
      <w:r>
        <w:rPr/>
        <w:t>serum</w:t>
      </w:r>
      <w:r>
        <w:rPr>
          <w:spacing w:val="-15"/>
        </w:rPr>
        <w:t> </w:t>
      </w:r>
      <w:r>
        <w:rPr/>
        <w:t>levels of selective trace elements</w:t>
      </w:r>
      <w:r>
        <w:rPr>
          <w:color w:val="B5082E"/>
        </w:rPr>
        <w:t>, </w:t>
      </w:r>
      <w:r>
        <w:rPr/>
        <w:t>namely</w:t>
      </w:r>
      <w:r>
        <w:rPr>
          <w:color w:val="B5082E"/>
        </w:rPr>
        <w:t>, </w:t>
      </w:r>
      <w:r>
        <w:rPr/>
        <w:t>Copper, Iron, Magnesium, Manganese, and Zinc</w:t>
      </w:r>
      <w:r>
        <w:rPr>
          <w:color w:val="B5082E"/>
        </w:rPr>
        <w:t>, </w:t>
      </w:r>
      <w:r>
        <w:rPr/>
        <w:t>between the non-alcoholic fatty liver disease (NAFLD) patients and healthy</w:t>
      </w:r>
      <w:r>
        <w:rPr>
          <w:spacing w:val="-5"/>
        </w:rPr>
        <w:t> </w:t>
      </w:r>
      <w:r>
        <w:rPr/>
        <w:t>volunteers.</w:t>
      </w:r>
    </w:p>
    <w:p>
      <w:pPr>
        <w:pStyle w:val="Heading1"/>
      </w:pPr>
      <w:r>
        <w:rPr/>
        <w:t>Methods:</w:t>
      </w:r>
    </w:p>
    <w:p>
      <w:pPr>
        <w:pStyle w:val="BodyText"/>
        <w:spacing w:line="360" w:lineRule="auto"/>
        <w:ind w:left="640" w:right="111"/>
        <w:jc w:val="both"/>
      </w:pPr>
      <w:r>
        <w:rPr/>
        <w:t>A cross sectional study was conducted by enrolling NAFLD patients (n=170) and apparently healthy volunteers (n=62). Inductively coupled plasma- atomic emission spectrometry (ICP-AES) was used to quantify the serum levels of selected trace elements. We also measured serum levels of Tumour necrosis facto(TNF–α) and malondialdehyde(MDA) to investigate the effect of NAFLD progression on trace elements.</w:t>
      </w:r>
    </w:p>
    <w:p>
      <w:pPr>
        <w:pStyle w:val="Heading1"/>
        <w:spacing w:before="3"/>
      </w:pPr>
      <w:r>
        <w:rPr/>
        <w:t>Results:</w:t>
      </w:r>
    </w:p>
    <w:p>
      <w:pPr>
        <w:pStyle w:val="BodyText"/>
        <w:spacing w:line="360" w:lineRule="auto"/>
        <w:ind w:left="640" w:right="112"/>
        <w:jc w:val="both"/>
      </w:pPr>
      <w:r>
        <w:rPr/>
        <w:t>In NAFLD patients, serum Copper levels [88.5 (38.1, 286.7) µg/dL] were higher than healthy volunteers [74.9 (25.5, 148.8) µg/dL] with p value &lt;0.001. In contrast, Zinc levels were lower in NAFLD group [107.3 (12, 270.6) µg/dL] as compared to health volunteers [125 (88.7, 261.1) µg/dL] with</w:t>
      </w:r>
      <w:r>
        <w:rPr>
          <w:spacing w:val="-9"/>
        </w:rPr>
        <w:t> </w:t>
      </w:r>
      <w:r>
        <w:rPr/>
        <w:t>p</w:t>
      </w:r>
      <w:r>
        <w:rPr>
          <w:spacing w:val="-8"/>
        </w:rPr>
        <w:t> </w:t>
      </w:r>
      <w:r>
        <w:rPr/>
        <w:t>value</w:t>
      </w:r>
      <w:r>
        <w:rPr>
          <w:spacing w:val="-8"/>
        </w:rPr>
        <w:t> </w:t>
      </w:r>
      <w:r>
        <w:rPr/>
        <w:t>&lt;0.001.</w:t>
      </w:r>
      <w:r>
        <w:rPr>
          <w:spacing w:val="-8"/>
        </w:rPr>
        <w:t> </w:t>
      </w:r>
      <w:r>
        <w:rPr/>
        <w:t>Likewise,</w:t>
      </w:r>
      <w:r>
        <w:rPr>
          <w:spacing w:val="-8"/>
        </w:rPr>
        <w:t> </w:t>
      </w:r>
      <w:r>
        <w:rPr/>
        <w:t>In</w:t>
      </w:r>
      <w:r>
        <w:rPr>
          <w:spacing w:val="-8"/>
        </w:rPr>
        <w:t> </w:t>
      </w:r>
      <w:r>
        <w:rPr/>
        <w:t>the</w:t>
      </w:r>
      <w:r>
        <w:rPr>
          <w:spacing w:val="-8"/>
        </w:rPr>
        <w:t> </w:t>
      </w:r>
      <w:r>
        <w:rPr/>
        <w:t>NAFLD</w:t>
      </w:r>
      <w:r>
        <w:rPr>
          <w:spacing w:val="-8"/>
        </w:rPr>
        <w:t> </w:t>
      </w:r>
      <w:r>
        <w:rPr/>
        <w:t>patients,</w:t>
      </w:r>
      <w:r>
        <w:rPr>
          <w:spacing w:val="-8"/>
        </w:rPr>
        <w:t> </w:t>
      </w:r>
      <w:r>
        <w:rPr/>
        <w:t>Iron,</w:t>
      </w:r>
      <w:r>
        <w:rPr>
          <w:spacing w:val="-9"/>
        </w:rPr>
        <w:t> </w:t>
      </w:r>
      <w:r>
        <w:rPr/>
        <w:t>Magnesium,</w:t>
      </w:r>
      <w:r>
        <w:rPr>
          <w:spacing w:val="-8"/>
        </w:rPr>
        <w:t> </w:t>
      </w:r>
      <w:r>
        <w:rPr/>
        <w:t>and</w:t>
      </w:r>
      <w:r>
        <w:rPr>
          <w:spacing w:val="-8"/>
        </w:rPr>
        <w:t> </w:t>
      </w:r>
      <w:r>
        <w:rPr/>
        <w:t>Manganese</w:t>
      </w:r>
      <w:r>
        <w:rPr>
          <w:spacing w:val="-8"/>
        </w:rPr>
        <w:t> </w:t>
      </w:r>
      <w:r>
        <w:rPr/>
        <w:t>levels</w:t>
      </w:r>
      <w:r>
        <w:rPr>
          <w:spacing w:val="-8"/>
        </w:rPr>
        <w:t> </w:t>
      </w:r>
      <w:r>
        <w:rPr/>
        <w:t>were also lower than healthy volunteers with p value &lt;0.001. Further,TNF–α and MDA levels were significantly higher in the NAFLD group as compared to healthy</w:t>
      </w:r>
      <w:r>
        <w:rPr>
          <w:spacing w:val="-5"/>
        </w:rPr>
        <w:t> </w:t>
      </w:r>
      <w:r>
        <w:rPr/>
        <w:t>volunteers.</w:t>
      </w:r>
    </w:p>
    <w:p>
      <w:pPr>
        <w:pStyle w:val="Heading1"/>
        <w:spacing w:line="274" w:lineRule="exact"/>
      </w:pPr>
      <w:r>
        <w:rPr/>
        <w:t>Conclusions:</w:t>
      </w:r>
    </w:p>
    <w:p>
      <w:pPr>
        <w:pStyle w:val="BodyText"/>
        <w:spacing w:line="360" w:lineRule="auto"/>
        <w:ind w:left="640" w:right="112"/>
        <w:jc w:val="both"/>
      </w:pPr>
      <w:r>
        <w:rPr/>
        <w:pict>
          <v:rect style="position:absolute;margin-left:220.320007pt;margin-top:61.253113pt;width:2.88001pt;height:.480011pt;mso-position-horizontal-relative:page;mso-position-vertical-relative:paragraph;z-index:-15756288" filled="true" fillcolor="#b5082e" stroked="false">
            <v:fill type="solid"/>
            <w10:wrap type="none"/>
          </v:rect>
        </w:pict>
      </w:r>
      <w:r>
        <w:rPr/>
        <w:t>The NAFLD patients had significantly altered serum trace element profile as compared to healthy volunteers, suggesting the role of trace elements in the pathogenesis of NAFLD. Hence, a trace element-based intervention can have a potential therapeutic role in the management of the NAFLD.</w:t>
      </w:r>
    </w:p>
    <w:p>
      <w:pPr>
        <w:spacing w:after="0" w:line="360" w:lineRule="auto"/>
        <w:jc w:val="both"/>
        <w:sectPr>
          <w:type w:val="continuous"/>
          <w:pgSz w:w="12240" w:h="15840"/>
          <w:pgMar w:top="1360" w:bottom="280" w:left="1160" w:right="620"/>
        </w:sectPr>
      </w:pPr>
    </w:p>
    <w:p>
      <w:pPr>
        <w:pStyle w:val="BodyText"/>
        <w:spacing w:before="5"/>
        <w:rPr>
          <w:sz w:val="10"/>
        </w:rPr>
      </w:pPr>
    </w:p>
    <w:p>
      <w:pPr>
        <w:pStyle w:val="Heading1"/>
        <w:spacing w:before="90"/>
      </w:pPr>
      <w:r>
        <w:rPr/>
        <w:t>Biography</w:t>
      </w:r>
    </w:p>
    <w:p>
      <w:pPr>
        <w:pStyle w:val="BodyText"/>
        <w:spacing w:line="312" w:lineRule="auto" w:before="89"/>
        <w:ind w:left="640" w:right="112"/>
        <w:jc w:val="both"/>
      </w:pPr>
      <w:r>
        <w:rPr/>
        <w:t>I completed my post graduation (Masters in Medical Pharmacology) at the age of 25 years from All India Institute of Medical Sciences, New Delhi, India which is a premier medical institute in the country. I have published 6 papers in reputed journals. 3 other manuscripts are communicated to reputed international journals. Currently, I am pursuing Doctor of Philosophy in Pharmacology from the same institute. I am working on animal models of Non Alcoholic Fatty Liver Disease. I have an experience of animal handling and surgery, cryosectioning and histopthological staining, performing ELISA, working with ICP- AES, performing western blotting and real time PCR.</w:t>
      </w:r>
    </w:p>
    <w:p>
      <w:pPr>
        <w:pStyle w:val="Heading1"/>
        <w:spacing w:before="162"/>
        <w:jc w:val="both"/>
      </w:pPr>
      <w:r>
        <w:rPr/>
        <w:t>About University/College</w:t>
      </w:r>
    </w:p>
    <w:p>
      <w:pPr>
        <w:pStyle w:val="BodyText"/>
        <w:spacing w:before="8"/>
        <w:rPr>
          <w:b/>
          <w:sz w:val="20"/>
        </w:rPr>
      </w:pPr>
    </w:p>
    <w:p>
      <w:pPr>
        <w:spacing w:before="0"/>
        <w:ind w:left="2103" w:right="2296" w:firstLine="0"/>
        <w:jc w:val="center"/>
        <w:rPr>
          <w:b/>
          <w:sz w:val="24"/>
        </w:rPr>
      </w:pPr>
      <w:r>
        <w:rPr>
          <w:b/>
          <w:sz w:val="24"/>
        </w:rPr>
        <w:t>All India Institute of Medical Sciences (AIIMS), New Delhi</w:t>
      </w:r>
    </w:p>
    <w:p>
      <w:pPr>
        <w:pStyle w:val="BodyText"/>
        <w:spacing w:before="11"/>
        <w:rPr>
          <w:b/>
          <w:sz w:val="17"/>
        </w:rPr>
      </w:pPr>
      <w:r>
        <w:rPr/>
        <w:drawing>
          <wp:anchor distT="0" distB="0" distL="0" distR="0" allowOverlap="1" layoutInCell="1" locked="0" behindDoc="0" simplePos="0" relativeHeight="7">
            <wp:simplePos x="0" y="0"/>
            <wp:positionH relativeFrom="page">
              <wp:posOffset>3041904</wp:posOffset>
            </wp:positionH>
            <wp:positionV relativeFrom="paragraph">
              <wp:posOffset>156027</wp:posOffset>
            </wp:positionV>
            <wp:extent cx="1907705" cy="2124075"/>
            <wp:effectExtent l="0" t="0" r="0" b="0"/>
            <wp:wrapTopAndBottom/>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1907705" cy="2124075"/>
                    </a:xfrm>
                    <a:prstGeom prst="rect">
                      <a:avLst/>
                    </a:prstGeom>
                  </pic:spPr>
                </pic:pic>
              </a:graphicData>
            </a:graphic>
          </wp:anchor>
        </w:drawing>
      </w:r>
    </w:p>
    <w:p>
      <w:pPr>
        <w:pStyle w:val="BodyText"/>
        <w:spacing w:before="10"/>
        <w:rPr>
          <w:b/>
          <w:sz w:val="26"/>
        </w:rPr>
      </w:pPr>
    </w:p>
    <w:p>
      <w:pPr>
        <w:pStyle w:val="BodyText"/>
        <w:spacing w:line="312" w:lineRule="auto" w:before="0"/>
        <w:ind w:left="640" w:right="113"/>
        <w:jc w:val="both"/>
      </w:pPr>
      <w:r>
        <w:rPr/>
        <w:t>AIIMS is a super-specialty tertiary care hospital and autonomous medical research university based in New Delhi, India. The institute was established in 1956 and operates autonomously under the Ministry of Health and Family Welfare, government of India. Internationally, it comes under the category of World’s top 100 Best Hospitals 2020 by Newsweek. In India, AIIMS, New Delhi was ranked first among all medical colleges by the National Institutional Ranking Framework in 2022. There</w:t>
      </w:r>
      <w:r>
        <w:rPr>
          <w:spacing w:val="-15"/>
        </w:rPr>
        <w:t> </w:t>
      </w:r>
      <w:r>
        <w:rPr/>
        <w:t>are</w:t>
      </w:r>
      <w:r>
        <w:rPr>
          <w:spacing w:val="-14"/>
        </w:rPr>
        <w:t> </w:t>
      </w:r>
      <w:r>
        <w:rPr/>
        <w:t>about</w:t>
      </w:r>
      <w:r>
        <w:rPr>
          <w:spacing w:val="-15"/>
        </w:rPr>
        <w:t> </w:t>
      </w:r>
      <w:r>
        <w:rPr/>
        <w:t>forty-two</w:t>
      </w:r>
      <w:r>
        <w:rPr>
          <w:spacing w:val="-14"/>
        </w:rPr>
        <w:t> </w:t>
      </w:r>
      <w:r>
        <w:rPr/>
        <w:t>specialty</w:t>
      </w:r>
      <w:r>
        <w:rPr>
          <w:spacing w:val="-15"/>
        </w:rPr>
        <w:t> </w:t>
      </w:r>
      <w:r>
        <w:rPr/>
        <w:t>post-graduate</w:t>
      </w:r>
      <w:r>
        <w:rPr>
          <w:spacing w:val="-14"/>
        </w:rPr>
        <w:t> </w:t>
      </w:r>
      <w:r>
        <w:rPr/>
        <w:t>courses</w:t>
      </w:r>
      <w:r>
        <w:rPr>
          <w:spacing w:val="-15"/>
        </w:rPr>
        <w:t> </w:t>
      </w:r>
      <w:r>
        <w:rPr/>
        <w:t>conducted</w:t>
      </w:r>
      <w:r>
        <w:rPr>
          <w:spacing w:val="-14"/>
        </w:rPr>
        <w:t> </w:t>
      </w:r>
      <w:r>
        <w:rPr/>
        <w:t>at</w:t>
      </w:r>
      <w:r>
        <w:rPr>
          <w:spacing w:val="-15"/>
        </w:rPr>
        <w:t> </w:t>
      </w:r>
      <w:r>
        <w:rPr/>
        <w:t>AIIMS</w:t>
      </w:r>
      <w:r>
        <w:rPr>
          <w:spacing w:val="-14"/>
        </w:rPr>
        <w:t> </w:t>
      </w:r>
      <w:r>
        <w:rPr/>
        <w:t>(New</w:t>
      </w:r>
      <w:r>
        <w:rPr>
          <w:spacing w:val="-15"/>
        </w:rPr>
        <w:t> </w:t>
      </w:r>
      <w:r>
        <w:rPr/>
        <w:t>Delhi).</w:t>
      </w:r>
      <w:r>
        <w:rPr>
          <w:spacing w:val="-14"/>
        </w:rPr>
        <w:t> </w:t>
      </w:r>
      <w:r>
        <w:rPr/>
        <w:t>The</w:t>
      </w:r>
      <w:r>
        <w:rPr>
          <w:spacing w:val="-14"/>
        </w:rPr>
        <w:t> </w:t>
      </w:r>
      <w:r>
        <w:rPr/>
        <w:t>entry is</w:t>
      </w:r>
      <w:r>
        <w:rPr>
          <w:spacing w:val="-11"/>
        </w:rPr>
        <w:t> </w:t>
      </w:r>
      <w:r>
        <w:rPr/>
        <w:t>through</w:t>
      </w:r>
      <w:r>
        <w:rPr>
          <w:spacing w:val="-10"/>
        </w:rPr>
        <w:t> </w:t>
      </w:r>
      <w:r>
        <w:rPr/>
        <w:t>a</w:t>
      </w:r>
      <w:r>
        <w:rPr>
          <w:spacing w:val="-10"/>
        </w:rPr>
        <w:t> </w:t>
      </w:r>
      <w:r>
        <w:rPr/>
        <w:t>nationwide</w:t>
      </w:r>
      <w:r>
        <w:rPr>
          <w:spacing w:val="-10"/>
        </w:rPr>
        <w:t> </w:t>
      </w:r>
      <w:r>
        <w:rPr/>
        <w:t>competitive</w:t>
      </w:r>
      <w:r>
        <w:rPr>
          <w:spacing w:val="-11"/>
        </w:rPr>
        <w:t> </w:t>
      </w:r>
      <w:r>
        <w:rPr/>
        <w:t>examination,</w:t>
      </w:r>
      <w:r>
        <w:rPr>
          <w:spacing w:val="-10"/>
        </w:rPr>
        <w:t> </w:t>
      </w:r>
      <w:r>
        <w:rPr/>
        <w:t>AIIMS</w:t>
      </w:r>
      <w:r>
        <w:rPr>
          <w:spacing w:val="-10"/>
        </w:rPr>
        <w:t> </w:t>
      </w:r>
      <w:r>
        <w:rPr/>
        <w:t>PG,</w:t>
      </w:r>
      <w:r>
        <w:rPr>
          <w:spacing w:val="-10"/>
        </w:rPr>
        <w:t> </w:t>
      </w:r>
      <w:r>
        <w:rPr/>
        <w:t>held</w:t>
      </w:r>
      <w:r>
        <w:rPr>
          <w:spacing w:val="-11"/>
        </w:rPr>
        <w:t> </w:t>
      </w:r>
      <w:r>
        <w:rPr/>
        <w:t>every</w:t>
      </w:r>
      <w:r>
        <w:rPr>
          <w:spacing w:val="-10"/>
        </w:rPr>
        <w:t> </w:t>
      </w:r>
      <w:r>
        <w:rPr/>
        <w:t>six</w:t>
      </w:r>
      <w:r>
        <w:rPr>
          <w:spacing w:val="-10"/>
        </w:rPr>
        <w:t> </w:t>
      </w:r>
      <w:r>
        <w:rPr/>
        <w:t>months.</w:t>
      </w:r>
      <w:r>
        <w:rPr>
          <w:spacing w:val="-10"/>
        </w:rPr>
        <w:t> </w:t>
      </w:r>
      <w:r>
        <w:rPr/>
        <w:t>Each</w:t>
      </w:r>
      <w:r>
        <w:rPr>
          <w:spacing w:val="-11"/>
        </w:rPr>
        <w:t> </w:t>
      </w:r>
      <w:r>
        <w:rPr/>
        <w:t>year</w:t>
      </w:r>
      <w:r>
        <w:rPr>
          <w:spacing w:val="-10"/>
        </w:rPr>
        <w:t> </w:t>
      </w:r>
      <w:r>
        <w:rPr/>
        <w:t>nearly 50 thousand medical graduates and 25 thousand dental graduates across the country compete for the limited number of positions, and approximately &lt;1% of the candidates are admitted through the process.</w:t>
      </w:r>
    </w:p>
    <w:sectPr>
      <w:pgSz w:w="12240" w:h="15840"/>
      <w:pgMar w:top="1500" w:bottom="280" w:left="116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spacing w:before="137"/>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640"/>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2022-10-15T04:37:58Z</dcterms:created>
  <dcterms:modified xsi:type="dcterms:W3CDTF">2022-10-15T04:37:58Z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2022-10-15T00:00:00Z</vt:filetime>
  </property>
</Properties>
</file>