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Times New Roman" w:cs="Times New Roman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32"/>
          <w:szCs w:val="36"/>
          <w:shd w:val="clear" w:color="auto" w:fill="FFFFFF"/>
        </w:rPr>
        <w:t>Advances in metformin for the treatment of non-alcoholic fatty liver disease in children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bidi="ar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bidi="ar"/>
        </w:rPr>
        <w:t>Qian-Long Wu, Shu-Xin Zeng, Jia-Ying Peng, Yi Yuan, Zhi Zhu, Zi-Chun Xie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bidi="ar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bidi="ar"/>
        </w:rPr>
        <w:t>Guangzhou Medical University, Guangzhou, 510180, China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bidi="ar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8"/>
          <w:szCs w:val="32"/>
        </w:rPr>
        <w:t>Abstract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hint="default" w:ascii="Times New Roman" w:hAnsi="Times New Roman" w:cs="Times New Roman"/>
          <w:sz w:val="24"/>
          <w:szCs w:val="24"/>
        </w:rPr>
        <w:t xml:space="preserve"> The increased economic and social burdens for NAFLD worldwide make treating such a disease a significant public health issue. Metformin, a kind of insulin sensitizer generally used to treat type 2 diabetes, has been recently found to have efficacy on children's NAFLD in various areas such as glucolipid metabolism, intestinal bacterial metabolism, oxidative stress, and anti-inflammatory response. This article aims to provide an overview of the possible mechanisms of NAFLD in children and the potential therapeutic application of metformin.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Method</w:t>
      </w:r>
      <w:r>
        <w:rPr>
          <w:rFonts w:hint="default" w:ascii="Times New Roman" w:hAnsi="Times New Roman" w:cs="Times New Roman"/>
          <w:sz w:val="24"/>
          <w:szCs w:val="24"/>
        </w:rPr>
        <w:t xml:space="preserve"> The Cochrane Library, PubMed, Scopus, and EMBASE database was systematically searched on Apr 12, 2022, using the keywords Metformin; Non-alcoholic fatty liver disease; Children to identify similar studies. An additional search for recently published research was performed in June 2020.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Conclusion</w:t>
      </w:r>
      <w:r>
        <w:rPr>
          <w:rFonts w:hint="default" w:ascii="Times New Roman" w:hAnsi="Times New Roman" w:cs="Times New Roman"/>
          <w:sz w:val="24"/>
          <w:szCs w:val="24"/>
        </w:rPr>
        <w:t xml:space="preserve"> Although metformin has been proved to have an excellent therapeutic effect on children's NAFLD; we can still explore its potential impacts and mechanisms from different angles, such as combined medication. At the same time, we should also pay attention to its side effects.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4A2D01C9"/>
    <w:rsid w:val="4A2D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2022-09-23T10:52:00Z</dcterms:created>
  <dc:creator>Whisky</dc:creator>
  <cp:lastModifiedBy>Whisky</cp:lastModifiedBy>
  <dcterms:modified xsi:type="dcterms:W3CDTF">2022-09-23T10:54:16Z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D50AB6B3E8A9446E84EF37008969FDFC</vt:lpwstr>
  </property>
</Properties>
</file>