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433" w:rsidRPr="007F3433" w:rsidRDefault="007F3433" w:rsidP="007F3433">
      <w:pPr>
        <w:pStyle w:val="paragraph"/>
        <w:spacing w:before="0" w:beforeAutospacing="0" w:after="0" w:afterAutospacing="0"/>
        <w:jc w:val="center"/>
        <w:textAlignment w:val="baseline"/>
        <w:rPr>
          <w:rFonts w:eastAsiaTheme="majorEastAsia"/>
          <w:b/>
          <w:color w:val="000000" w:themeColor="text1"/>
        </w:rPr>
      </w:pPr>
      <w:r w:rsidRPr="007F3433">
        <w:rPr>
          <w:rFonts w:eastAsiaTheme="majorEastAsia"/>
          <w:b/>
          <w:bCs/>
        </w:rPr>
        <w:t>Title:</w:t>
      </w:r>
      <w:r w:rsidRPr="007F3433">
        <w:rPr>
          <w:rFonts w:eastAsiaTheme="majorEastAsia"/>
          <w:b/>
        </w:rPr>
        <w:t xml:space="preserve"> </w:t>
      </w:r>
      <w:r w:rsidRPr="007F3433">
        <w:rPr>
          <w:rFonts w:eastAsiaTheme="majorEastAsia"/>
          <w:b/>
          <w:color w:val="000000" w:themeColor="text1"/>
        </w:rPr>
        <w:t xml:space="preserve">Outcomes of children living with HIV transitioned to </w:t>
      </w:r>
      <w:proofErr w:type="spellStart"/>
      <w:r w:rsidRPr="007F3433">
        <w:rPr>
          <w:rFonts w:eastAsiaTheme="majorEastAsia"/>
          <w:b/>
          <w:color w:val="000000" w:themeColor="text1"/>
        </w:rPr>
        <w:t>Dolutegravir</w:t>
      </w:r>
      <w:proofErr w:type="spellEnd"/>
      <w:r w:rsidRPr="007F3433">
        <w:rPr>
          <w:rFonts w:eastAsiaTheme="majorEastAsia"/>
          <w:b/>
          <w:color w:val="000000" w:themeColor="text1"/>
        </w:rPr>
        <w:t xml:space="preserve"> based antiretroviral therapy regimen in Midlands and Manicaland Provinces of Zimbabwe, 2022</w:t>
      </w:r>
    </w:p>
    <w:p w:rsidR="007F3433" w:rsidRPr="007F3433" w:rsidRDefault="007F3433" w:rsidP="007F343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color w:val="000000" w:themeColor="text1"/>
        </w:rPr>
      </w:pPr>
    </w:p>
    <w:p w:rsidR="007F3433" w:rsidRPr="007F3433" w:rsidRDefault="007F3433" w:rsidP="007F3433">
      <w:pPr>
        <w:pStyle w:val="paragraph"/>
        <w:spacing w:before="0" w:beforeAutospacing="0" w:after="0" w:afterAutospacing="0"/>
        <w:jc w:val="both"/>
        <w:rPr>
          <w:rFonts w:eastAsiaTheme="majorEastAsia"/>
        </w:rPr>
      </w:pPr>
      <w:r w:rsidRPr="007F3433">
        <w:rPr>
          <w:rFonts w:eastAsiaTheme="majorEastAsia"/>
        </w:rPr>
        <w:t xml:space="preserve">Authors: </w:t>
      </w:r>
      <w:r w:rsidRPr="007F3433">
        <w:rPr>
          <w:rFonts w:eastAsiaTheme="majorEastAsia"/>
          <w:u w:val="single"/>
        </w:rPr>
        <w:t>Dhodho M</w:t>
      </w:r>
      <w:r w:rsidRPr="007F3433">
        <w:rPr>
          <w:rFonts w:eastAsiaTheme="majorEastAsia"/>
          <w:u w:val="single"/>
          <w:vertAlign w:val="superscript"/>
        </w:rPr>
        <w:t>1</w:t>
      </w:r>
      <w:r w:rsidRPr="007F3433">
        <w:rPr>
          <w:rFonts w:eastAsiaTheme="majorEastAsia"/>
          <w:u w:val="single"/>
        </w:rPr>
        <w:t>,</w:t>
      </w:r>
      <w:r w:rsidRPr="007F3433">
        <w:rPr>
          <w:rFonts w:eastAsiaTheme="majorEastAsia"/>
        </w:rPr>
        <w:t xml:space="preserve"> </w:t>
      </w:r>
      <w:proofErr w:type="spellStart"/>
      <w:r w:rsidRPr="007F3433">
        <w:rPr>
          <w:rFonts w:eastAsiaTheme="majorEastAsia"/>
        </w:rPr>
        <w:t>Tachiwenyika</w:t>
      </w:r>
      <w:proofErr w:type="spellEnd"/>
      <w:r w:rsidRPr="007F3433">
        <w:rPr>
          <w:rFonts w:eastAsiaTheme="majorEastAsia"/>
        </w:rPr>
        <w:t xml:space="preserve"> E</w:t>
      </w:r>
      <w:r w:rsidRPr="007F3433">
        <w:rPr>
          <w:rFonts w:eastAsiaTheme="majorEastAsia"/>
          <w:vertAlign w:val="superscript"/>
        </w:rPr>
        <w:t>1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Hlungwani</w:t>
      </w:r>
      <w:proofErr w:type="spellEnd"/>
      <w:r w:rsidRPr="007F3433">
        <w:rPr>
          <w:rFonts w:eastAsiaTheme="majorEastAsia"/>
        </w:rPr>
        <w:t xml:space="preserve"> E</w:t>
      </w:r>
      <w:r w:rsidRPr="007F3433">
        <w:rPr>
          <w:rFonts w:eastAsiaTheme="majorEastAsia"/>
          <w:vertAlign w:val="superscript"/>
        </w:rPr>
        <w:t>1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Tapera</w:t>
      </w:r>
      <w:proofErr w:type="spellEnd"/>
      <w:r w:rsidRPr="007F3433">
        <w:rPr>
          <w:rFonts w:eastAsiaTheme="majorEastAsia"/>
        </w:rPr>
        <w:t xml:space="preserve"> T</w:t>
      </w:r>
      <w:r w:rsidRPr="007F3433">
        <w:rPr>
          <w:rFonts w:eastAsiaTheme="majorEastAsia"/>
          <w:vertAlign w:val="superscript"/>
        </w:rPr>
        <w:t>1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Ganje</w:t>
      </w:r>
      <w:proofErr w:type="spellEnd"/>
      <w:r w:rsidRPr="007F3433">
        <w:rPr>
          <w:rFonts w:eastAsiaTheme="majorEastAsia"/>
        </w:rPr>
        <w:t xml:space="preserve"> N</w:t>
      </w:r>
      <w:r w:rsidRPr="007F3433">
        <w:rPr>
          <w:rFonts w:eastAsiaTheme="majorEastAsia"/>
          <w:vertAlign w:val="superscript"/>
        </w:rPr>
        <w:t>1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Nyamundaya</w:t>
      </w:r>
      <w:proofErr w:type="spellEnd"/>
      <w:r w:rsidRPr="007F3433">
        <w:rPr>
          <w:rFonts w:eastAsiaTheme="majorEastAsia"/>
        </w:rPr>
        <w:t xml:space="preserve"> T</w:t>
      </w:r>
      <w:r w:rsidRPr="007F3433">
        <w:rPr>
          <w:rFonts w:eastAsiaTheme="majorEastAsia"/>
          <w:vertAlign w:val="superscript"/>
        </w:rPr>
        <w:t>1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Muchekeza</w:t>
      </w:r>
      <w:proofErr w:type="spellEnd"/>
      <w:r w:rsidRPr="007F3433">
        <w:rPr>
          <w:rFonts w:eastAsiaTheme="majorEastAsia"/>
        </w:rPr>
        <w:t xml:space="preserve"> M</w:t>
      </w:r>
      <w:r w:rsidRPr="007F3433">
        <w:rPr>
          <w:rFonts w:eastAsiaTheme="majorEastAsia"/>
          <w:vertAlign w:val="superscript"/>
        </w:rPr>
        <w:t>2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Mukuzunga</w:t>
      </w:r>
      <w:proofErr w:type="spellEnd"/>
      <w:r w:rsidRPr="007F3433">
        <w:rPr>
          <w:rFonts w:eastAsiaTheme="majorEastAsia"/>
        </w:rPr>
        <w:t xml:space="preserve"> M</w:t>
      </w:r>
      <w:r w:rsidRPr="007F3433">
        <w:rPr>
          <w:rFonts w:eastAsiaTheme="majorEastAsia"/>
          <w:vertAlign w:val="superscript"/>
        </w:rPr>
        <w:t>2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Mushavi</w:t>
      </w:r>
      <w:proofErr w:type="spellEnd"/>
      <w:r w:rsidRPr="007F3433">
        <w:rPr>
          <w:rFonts w:eastAsiaTheme="majorEastAsia"/>
        </w:rPr>
        <w:t xml:space="preserve"> A</w:t>
      </w:r>
      <w:r w:rsidRPr="007F3433">
        <w:rPr>
          <w:rFonts w:eastAsiaTheme="majorEastAsia"/>
          <w:vertAlign w:val="superscript"/>
        </w:rPr>
        <w:t>2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Nyafesa</w:t>
      </w:r>
      <w:proofErr w:type="spellEnd"/>
      <w:r w:rsidRPr="007F3433">
        <w:rPr>
          <w:rFonts w:eastAsiaTheme="majorEastAsia"/>
        </w:rPr>
        <w:t xml:space="preserve"> T</w:t>
      </w:r>
      <w:r w:rsidRPr="007F3433">
        <w:rPr>
          <w:rFonts w:eastAsiaTheme="majorEastAsia"/>
          <w:vertAlign w:val="superscript"/>
        </w:rPr>
        <w:t>2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Hlupeni</w:t>
      </w:r>
      <w:proofErr w:type="spellEnd"/>
      <w:r w:rsidRPr="007F3433">
        <w:rPr>
          <w:rFonts w:eastAsiaTheme="majorEastAsia"/>
        </w:rPr>
        <w:t xml:space="preserve"> A</w:t>
      </w:r>
      <w:r w:rsidRPr="007F3433">
        <w:rPr>
          <w:rFonts w:eastAsiaTheme="majorEastAsia"/>
          <w:vertAlign w:val="superscript"/>
        </w:rPr>
        <w:t>2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Andifasi</w:t>
      </w:r>
      <w:proofErr w:type="spellEnd"/>
      <w:r w:rsidRPr="007F3433">
        <w:rPr>
          <w:rFonts w:eastAsiaTheme="majorEastAsia"/>
        </w:rPr>
        <w:t xml:space="preserve"> P</w:t>
      </w:r>
      <w:r w:rsidRPr="007F3433">
        <w:rPr>
          <w:rFonts w:eastAsiaTheme="majorEastAsia"/>
          <w:vertAlign w:val="superscript"/>
        </w:rPr>
        <w:t>2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Nyagura</w:t>
      </w:r>
      <w:proofErr w:type="spellEnd"/>
      <w:r w:rsidRPr="007F3433">
        <w:rPr>
          <w:rFonts w:eastAsiaTheme="majorEastAsia"/>
        </w:rPr>
        <w:t xml:space="preserve"> T</w:t>
      </w:r>
      <w:r w:rsidRPr="007F3433">
        <w:rPr>
          <w:rFonts w:eastAsiaTheme="majorEastAsia"/>
          <w:vertAlign w:val="superscript"/>
        </w:rPr>
        <w:t>3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Mhangara</w:t>
      </w:r>
      <w:proofErr w:type="spellEnd"/>
      <w:r w:rsidRPr="007F3433">
        <w:rPr>
          <w:rFonts w:eastAsiaTheme="majorEastAsia"/>
        </w:rPr>
        <w:t xml:space="preserve"> M</w:t>
      </w:r>
      <w:r w:rsidRPr="007F3433">
        <w:rPr>
          <w:rFonts w:eastAsiaTheme="majorEastAsia"/>
          <w:vertAlign w:val="superscript"/>
        </w:rPr>
        <w:t>3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Mukungunugwa</w:t>
      </w:r>
      <w:proofErr w:type="spellEnd"/>
      <w:r w:rsidRPr="007F3433">
        <w:rPr>
          <w:rFonts w:eastAsiaTheme="majorEastAsia"/>
        </w:rPr>
        <w:t xml:space="preserve"> S</w:t>
      </w:r>
      <w:r w:rsidRPr="007F3433">
        <w:rPr>
          <w:rFonts w:eastAsiaTheme="majorEastAsia"/>
          <w:vertAlign w:val="superscript"/>
        </w:rPr>
        <w:t>3</w:t>
      </w:r>
      <w:r w:rsidRPr="007F3433">
        <w:rPr>
          <w:rFonts w:eastAsiaTheme="majorEastAsia"/>
        </w:rPr>
        <w:t xml:space="preserve">, </w:t>
      </w:r>
      <w:proofErr w:type="spellStart"/>
      <w:r w:rsidRPr="007F3433">
        <w:rPr>
          <w:rFonts w:eastAsiaTheme="majorEastAsia"/>
        </w:rPr>
        <w:t>Sibanda</w:t>
      </w:r>
      <w:proofErr w:type="spellEnd"/>
      <w:r w:rsidRPr="007F3433">
        <w:rPr>
          <w:rFonts w:eastAsiaTheme="majorEastAsia"/>
        </w:rPr>
        <w:t xml:space="preserve"> T. P.</w:t>
      </w:r>
      <w:r w:rsidRPr="007F3433">
        <w:rPr>
          <w:rFonts w:eastAsiaTheme="majorEastAsia"/>
          <w:vertAlign w:val="superscript"/>
        </w:rPr>
        <w:t>1</w:t>
      </w:r>
    </w:p>
    <w:p w:rsidR="007F3433" w:rsidRPr="007F3433" w:rsidRDefault="007F3433" w:rsidP="007F3433">
      <w:pPr>
        <w:pStyle w:val="paragraph"/>
        <w:jc w:val="center"/>
        <w:rPr>
          <w:rFonts w:eastAsiaTheme="majorEastAsia"/>
          <w:b/>
          <w:bCs/>
        </w:rPr>
      </w:pPr>
    </w:p>
    <w:p w:rsidR="007F3433" w:rsidRPr="007F3433" w:rsidRDefault="007F3433" w:rsidP="007F343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  <w:r w:rsidRPr="007F3433">
        <w:rPr>
          <w:rFonts w:eastAsiaTheme="majorEastAsia"/>
          <w:b/>
          <w:bCs/>
        </w:rPr>
        <w:t>Affiliation</w:t>
      </w:r>
    </w:p>
    <w:p w:rsidR="007F3433" w:rsidRPr="007F3433" w:rsidRDefault="007F3433" w:rsidP="007F343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  <w:r w:rsidRPr="007F3433">
        <w:rPr>
          <w:rFonts w:eastAsiaTheme="majorEastAsia"/>
          <w:vertAlign w:val="superscript"/>
        </w:rPr>
        <w:t>1</w:t>
      </w:r>
      <w:r w:rsidRPr="007F3433">
        <w:rPr>
          <w:rFonts w:eastAsiaTheme="majorEastAsia"/>
        </w:rPr>
        <w:t>Zimbabwe Health Interventions</w:t>
      </w:r>
    </w:p>
    <w:p w:rsidR="007F3433" w:rsidRPr="007F3433" w:rsidRDefault="007F3433" w:rsidP="007F3433">
      <w:pPr>
        <w:pStyle w:val="paragraph"/>
        <w:spacing w:before="0" w:beforeAutospacing="0" w:after="0" w:afterAutospacing="0"/>
        <w:jc w:val="both"/>
        <w:rPr>
          <w:rFonts w:eastAsiaTheme="majorEastAsia"/>
        </w:rPr>
      </w:pPr>
      <w:r w:rsidRPr="007F3433">
        <w:rPr>
          <w:rFonts w:eastAsiaTheme="majorEastAsia"/>
          <w:vertAlign w:val="superscript"/>
        </w:rPr>
        <w:t>2</w:t>
      </w:r>
      <w:r w:rsidRPr="007F3433">
        <w:rPr>
          <w:rFonts w:eastAsiaTheme="majorEastAsia"/>
        </w:rPr>
        <w:t>Ministry of Health and Childcare</w:t>
      </w:r>
    </w:p>
    <w:p w:rsidR="007F3433" w:rsidRPr="007F3433" w:rsidRDefault="007F3433" w:rsidP="007F3433">
      <w:pPr>
        <w:pStyle w:val="paragraph"/>
        <w:spacing w:before="0" w:beforeAutospacing="0" w:after="0" w:afterAutospacing="0"/>
        <w:jc w:val="both"/>
        <w:rPr>
          <w:rFonts w:eastAsiaTheme="majorEastAsia"/>
        </w:rPr>
      </w:pPr>
      <w:r w:rsidRPr="007F3433">
        <w:rPr>
          <w:rFonts w:eastAsiaTheme="majorEastAsia"/>
          <w:vertAlign w:val="superscript"/>
        </w:rPr>
        <w:t>3</w:t>
      </w:r>
      <w:r w:rsidRPr="007F3433">
        <w:rPr>
          <w:rFonts w:eastAsiaTheme="majorEastAsia"/>
        </w:rPr>
        <w:t>United States Agency for International Development - Zimbabwe</w:t>
      </w:r>
    </w:p>
    <w:p w:rsidR="007F3433" w:rsidRPr="007F3433" w:rsidRDefault="007F3433" w:rsidP="007F3433">
      <w:pPr>
        <w:pStyle w:val="paragraph"/>
        <w:spacing w:before="0" w:beforeAutospacing="0" w:after="0" w:afterAutospacing="0"/>
        <w:jc w:val="both"/>
        <w:rPr>
          <w:rFonts w:eastAsiaTheme="majorEastAsia"/>
        </w:rPr>
      </w:pPr>
    </w:p>
    <w:p w:rsidR="007F3433" w:rsidRPr="007F3433" w:rsidRDefault="007F3433" w:rsidP="007F343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  <w:r w:rsidRPr="007F3433">
        <w:rPr>
          <w:rFonts w:eastAsiaTheme="majorEastAsia"/>
          <w:b/>
          <w:bCs/>
        </w:rPr>
        <w:t>Background:</w:t>
      </w:r>
      <w:r w:rsidRPr="007F3433">
        <w:rPr>
          <w:rFonts w:eastAsiaTheme="majorEastAsia"/>
        </w:rPr>
        <w:t xml:space="preserve"> </w:t>
      </w:r>
      <w:proofErr w:type="spellStart"/>
      <w:r w:rsidRPr="007F3433">
        <w:rPr>
          <w:rFonts w:eastAsiaTheme="majorEastAsia"/>
        </w:rPr>
        <w:t>Dolutegravir</w:t>
      </w:r>
      <w:proofErr w:type="spellEnd"/>
      <w:r w:rsidRPr="007F3433">
        <w:rPr>
          <w:rFonts w:eastAsiaTheme="majorEastAsia"/>
        </w:rPr>
        <w:t xml:space="preserve"> (DTG) is an anti-retroviral medicine proven to significantly reduce viral load (VL) among people living with HIV (PLHIV). Zimbabwe is using the child-friendly dispersible pediatric DTG (</w:t>
      </w:r>
      <w:proofErr w:type="spellStart"/>
      <w:r w:rsidRPr="007F3433">
        <w:rPr>
          <w:rFonts w:eastAsiaTheme="majorEastAsia"/>
        </w:rPr>
        <w:t>pDTG</w:t>
      </w:r>
      <w:proofErr w:type="spellEnd"/>
      <w:r w:rsidRPr="007F3433">
        <w:rPr>
          <w:rFonts w:eastAsiaTheme="majorEastAsia"/>
        </w:rPr>
        <w:t xml:space="preserve">) 10mg tablet in addition to 50mg tablet.  ZHI is supporting roll out and transition to DTG based regimens in children using a phased approach starting with tertiary level facilities; scale up to lower-level facilities started in March 2022.   We assessed DTG transition progress and outcomes of pediatric clients before and after DTG transition. </w:t>
      </w:r>
    </w:p>
    <w:p w:rsidR="007F3433" w:rsidRPr="007F3433" w:rsidRDefault="007F3433" w:rsidP="007F3433">
      <w:pPr>
        <w:pStyle w:val="paragraph"/>
        <w:spacing w:before="240" w:beforeAutospacing="0" w:after="0" w:afterAutospacing="0"/>
        <w:jc w:val="both"/>
        <w:textAlignment w:val="baseline"/>
        <w:rPr>
          <w:rFonts w:eastAsiaTheme="majorEastAsia"/>
        </w:rPr>
      </w:pPr>
      <w:r w:rsidRPr="007F3433">
        <w:rPr>
          <w:rFonts w:eastAsiaTheme="majorEastAsia"/>
          <w:b/>
          <w:bCs/>
        </w:rPr>
        <w:t>Methods</w:t>
      </w:r>
      <w:r w:rsidRPr="007F3433">
        <w:rPr>
          <w:rFonts w:eastAsiaTheme="majorEastAsia"/>
          <w:b/>
          <w:bCs/>
          <w:lang w:val="en-ZW"/>
        </w:rPr>
        <w:t>:</w:t>
      </w:r>
      <w:r w:rsidRPr="007F3433">
        <w:rPr>
          <w:rFonts w:eastAsiaTheme="majorEastAsia"/>
          <w:lang w:val="en-ZW"/>
        </w:rPr>
        <w:t xml:space="preserve"> </w:t>
      </w:r>
      <w:r w:rsidRPr="007F3433">
        <w:rPr>
          <w:rFonts w:eastAsiaTheme="majorEastAsia"/>
        </w:rPr>
        <w:t xml:space="preserve">We conducted an analytic cross-sectional study focusing on client outcomes before and after DTG transition across 34 high-volume sites. The primary outcome was viral load suppression. All children on ART in these facilities were included. Client folders were reviewed, and data were abstracted and captured into a Kobo electronic data collection tool. Data were analyzed using </w:t>
      </w:r>
      <w:proofErr w:type="spellStart"/>
      <w:r w:rsidRPr="007F3433">
        <w:rPr>
          <w:rFonts w:eastAsiaTheme="majorEastAsia"/>
        </w:rPr>
        <w:t>Stata</w:t>
      </w:r>
      <w:proofErr w:type="spellEnd"/>
      <w:r w:rsidRPr="007F3433">
        <w:rPr>
          <w:rFonts w:eastAsiaTheme="majorEastAsia"/>
        </w:rPr>
        <w:t xml:space="preserve"> 15.</w:t>
      </w:r>
    </w:p>
    <w:p w:rsidR="007F3433" w:rsidRPr="007F3433" w:rsidRDefault="007F3433" w:rsidP="007F3433">
      <w:pPr>
        <w:pStyle w:val="paragraph"/>
        <w:spacing w:before="240" w:beforeAutospacing="0" w:after="0" w:afterAutospacing="0"/>
        <w:jc w:val="both"/>
        <w:textAlignment w:val="baseline"/>
        <w:rPr>
          <w:rFonts w:eastAsiaTheme="majorEastAsia"/>
        </w:rPr>
      </w:pPr>
      <w:r w:rsidRPr="007F3433">
        <w:rPr>
          <w:rFonts w:eastAsiaTheme="majorEastAsia"/>
        </w:rPr>
        <w:t> </w:t>
      </w:r>
      <w:r w:rsidRPr="007F3433">
        <w:rPr>
          <w:rFonts w:eastAsiaTheme="majorEastAsia"/>
          <w:b/>
          <w:bCs/>
        </w:rPr>
        <w:t>Results:</w:t>
      </w:r>
      <w:r w:rsidRPr="007F3433">
        <w:rPr>
          <w:rFonts w:eastAsiaTheme="majorEastAsia"/>
        </w:rPr>
        <w:t xml:space="preserve"> A total of 1,003 children were included in the study with median age of 11 years (IQR 7-13) and of these 811 (81%) were on a non-DTG based regimen when they started ART. Of these, 635 (72.3%) were switched to a DTG based regimen. Data to measure the effect of DTG transition was available for 276 children who had VL before and after transitioning. A total of 220 (80%) had a suppressed VL before transition and 264(96%) had a suppressed VL after transitioning. Children who remained on a non-DTG containing regimen were 8 times more likely to have unsuppressed VL compared to those who switched to DTG (RR 7.86, 95% CI 2.4-25.2). </w:t>
      </w:r>
    </w:p>
    <w:p w:rsidR="007F3433" w:rsidRPr="007F3433" w:rsidRDefault="007F3433" w:rsidP="007F3433">
      <w:pPr>
        <w:pStyle w:val="paragraph"/>
        <w:tabs>
          <w:tab w:val="left" w:pos="6780"/>
        </w:tabs>
        <w:jc w:val="both"/>
        <w:textAlignment w:val="baseline"/>
        <w:rPr>
          <w:rFonts w:eastAsiaTheme="majorEastAsia"/>
          <w:lang w:val="en-ZW"/>
        </w:rPr>
      </w:pPr>
      <w:r w:rsidRPr="007F3433">
        <w:rPr>
          <w:rFonts w:eastAsiaTheme="majorEastAsia"/>
          <w:lang w:val="en-ZW"/>
        </w:rPr>
        <w:tab/>
      </w:r>
    </w:p>
    <w:p w:rsidR="007F3433" w:rsidRPr="007F3433" w:rsidRDefault="007F3433" w:rsidP="007F343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  <w:r w:rsidRPr="007F3433">
        <w:rPr>
          <w:rFonts w:eastAsiaTheme="majorEastAsia"/>
          <w:b/>
          <w:bCs/>
        </w:rPr>
        <w:t>Conclusion:</w:t>
      </w:r>
      <w:r w:rsidRPr="007F3433">
        <w:rPr>
          <w:rFonts w:eastAsiaTheme="majorEastAsia"/>
          <w:lang w:val="en-ZW"/>
        </w:rPr>
        <w:t> </w:t>
      </w:r>
      <w:r w:rsidRPr="007F3433">
        <w:rPr>
          <w:rFonts w:eastAsiaTheme="majorEastAsia"/>
        </w:rPr>
        <w:t xml:space="preserve">A significant proportion of children were transitioned to a DTG containing regimen and had better VL suppression compared to those on a non-DTG regimen. We recommend programs to develop guidance to expedite transition of children to DTG-based regimens. </w:t>
      </w:r>
    </w:p>
    <w:p w:rsidR="007F3433" w:rsidRPr="007F3433" w:rsidRDefault="007F3433" w:rsidP="007F3433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</w:p>
    <w:p w:rsidR="007F3433" w:rsidRPr="007F3433" w:rsidRDefault="007F3433">
      <w:pPr>
        <w:rPr>
          <w:rFonts w:ascii="Times New Roman" w:hAnsi="Times New Roman" w:cs="Times New Roman"/>
          <w:b/>
          <w:sz w:val="24"/>
          <w:szCs w:val="24"/>
        </w:rPr>
      </w:pPr>
      <w:r w:rsidRPr="007F3433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7F3433" w:rsidRDefault="007F3433">
      <w:pPr>
        <w:rPr>
          <w:rFonts w:ascii="Times New Roman" w:hAnsi="Times New Roman" w:cs="Times New Roman"/>
          <w:sz w:val="24"/>
          <w:szCs w:val="24"/>
        </w:rPr>
      </w:pPr>
      <w:r w:rsidRPr="007F3433">
        <w:rPr>
          <w:rFonts w:ascii="Times New Roman" w:hAnsi="Times New Roman" w:cs="Times New Roman"/>
          <w:sz w:val="24"/>
          <w:szCs w:val="24"/>
        </w:rPr>
        <w:t xml:space="preserve"> Munyaradzi Dhodho is an accomplished public health specialist, nurse practitioner, epidemiologist, health informatics specialist and development practitioner. For over 15 years, Munyaradzi Dhodho has been a noteworthy leader in the management of HIV/AIDS and TB </w:t>
      </w:r>
      <w:r w:rsidRPr="007F3433">
        <w:rPr>
          <w:rFonts w:ascii="Times New Roman" w:hAnsi="Times New Roman" w:cs="Times New Roman"/>
          <w:sz w:val="24"/>
          <w:szCs w:val="24"/>
        </w:rPr>
        <w:lastRenderedPageBreak/>
        <w:t xml:space="preserve">in Africa. Currently working for Zimbabwe Health Interventions in the Strategic Information and Evaluation department, Munyaradzi leads learning activities and the application of evidence-based health practice through research. Munyaradzi seats in the board of MSF-Southern Africa (Doctors </w:t>
      </w:r>
      <w:proofErr w:type="gramStart"/>
      <w:r w:rsidRPr="007F3433">
        <w:rPr>
          <w:rFonts w:ascii="Times New Roman" w:hAnsi="Times New Roman" w:cs="Times New Roman"/>
          <w:sz w:val="24"/>
          <w:szCs w:val="24"/>
        </w:rPr>
        <w:t>Without</w:t>
      </w:r>
      <w:proofErr w:type="gramEnd"/>
      <w:r w:rsidRPr="007F3433">
        <w:rPr>
          <w:rFonts w:ascii="Times New Roman" w:hAnsi="Times New Roman" w:cs="Times New Roman"/>
          <w:sz w:val="24"/>
          <w:szCs w:val="24"/>
        </w:rPr>
        <w:t xml:space="preserve"> Borders) and is part of the Programs, Finance and Audit committees.</w:t>
      </w:r>
    </w:p>
    <w:p w:rsidR="007F3433" w:rsidRDefault="007F343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IN"/>
        </w:rPr>
        <w:drawing>
          <wp:inline distT="0" distB="0" distL="0" distR="0" wp14:anchorId="22D14A24" wp14:editId="5215FFB9">
            <wp:extent cx="730885" cy="794980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421"/>
                    <a:stretch/>
                  </pic:blipFill>
                  <pic:spPr bwMode="auto">
                    <a:xfrm>
                      <a:off x="0" y="0"/>
                      <a:ext cx="737742" cy="802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3433" w:rsidRPr="007F3433" w:rsidRDefault="007F3433">
      <w:pPr>
        <w:rPr>
          <w:rStyle w:val="Hyperlink"/>
          <w:rFonts w:ascii="Times New Roman" w:hAnsi="Times New Roman" w:cs="Times New Roman"/>
          <w:sz w:val="24"/>
          <w:szCs w:val="24"/>
        </w:rPr>
      </w:pPr>
      <w:hyperlink r:id="rId6" w:history="1">
        <w:r w:rsidRPr="007F3433">
          <w:rPr>
            <w:rStyle w:val="Hyperlink"/>
            <w:rFonts w:ascii="Times New Roman" w:hAnsi="Times New Roman" w:cs="Times New Roman"/>
            <w:sz w:val="24"/>
            <w:szCs w:val="24"/>
          </w:rPr>
          <w:t>mdhodho@zhi.co.zw</w:t>
        </w:r>
      </w:hyperlink>
    </w:p>
    <w:p w:rsidR="007F3433" w:rsidRPr="007F3433" w:rsidRDefault="007F3433" w:rsidP="007F343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7F3433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7F3433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7F3433">
        <w:rPr>
          <w:rFonts w:ascii="Times New Roman" w:hAnsi="Times New Roman" w:cs="Times New Roman"/>
          <w:sz w:val="24"/>
          <w:szCs w:val="24"/>
          <w:lang w:val="en-NZ"/>
        </w:rPr>
        <w:t>Full name: Munyaradzi Dhodho</w:t>
      </w:r>
      <w:bookmarkStart w:id="0" w:name="_GoBack"/>
      <w:bookmarkEnd w:id="0"/>
      <w:r w:rsidRPr="007F3433">
        <w:rPr>
          <w:rFonts w:ascii="Times New Roman" w:hAnsi="Times New Roman" w:cs="Times New Roman"/>
          <w:sz w:val="24"/>
          <w:szCs w:val="24"/>
          <w:lang w:val="en-NZ"/>
        </w:rPr>
        <w:br/>
        <w:t>Contact number: 0780050626</w:t>
      </w:r>
      <w:r w:rsidRPr="007F3433">
        <w:rPr>
          <w:rFonts w:ascii="Times New Roman" w:hAnsi="Times New Roman" w:cs="Times New Roman"/>
          <w:sz w:val="24"/>
          <w:szCs w:val="24"/>
          <w:lang w:val="en-NZ"/>
        </w:rPr>
        <w:br/>
        <w:t>Twitter account: @mdhodho1</w:t>
      </w:r>
      <w:r w:rsidRPr="007F3433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Pr="007F343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7F3433">
          <w:rPr>
            <w:rStyle w:val="Hyperlink"/>
            <w:rFonts w:ascii="Times New Roman" w:hAnsi="Times New Roman" w:cs="Times New Roman"/>
            <w:sz w:val="24"/>
            <w:szCs w:val="24"/>
            <w:lang w:val="en-NZ"/>
          </w:rPr>
          <w:t>www.linkedin.com/in/munyaradzi-dhodho-57068862</w:t>
        </w:r>
      </w:hyperlink>
    </w:p>
    <w:p w:rsidR="007F3433" w:rsidRPr="007F3433" w:rsidRDefault="007F3433">
      <w:pPr>
        <w:rPr>
          <w:rFonts w:ascii="Times New Roman" w:hAnsi="Times New Roman" w:cs="Times New Roman"/>
          <w:sz w:val="24"/>
          <w:szCs w:val="24"/>
        </w:rPr>
      </w:pPr>
    </w:p>
    <w:sectPr w:rsidR="007F3433" w:rsidRPr="007F34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433"/>
    <w:rsid w:val="00426925"/>
    <w:rsid w:val="007F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3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433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7F3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F34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3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433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7F3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F34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nkedin.com/in/munyaradzi-dhodho-5706886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dhodho@zhi.co.zw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infectious-2022</dc:creator>
  <cp:lastModifiedBy>infectious-2022</cp:lastModifiedBy>
  <cp:revision>1</cp:revision>
  <dcterms:created xsi:type="dcterms:W3CDTF">2022-10-14T05:40:00Z</dcterms:created>
  <dcterms:modified xsi:type="dcterms:W3CDTF">2022-10-14T05:45:00Z</dcterms:modified>
</cp:coreProperties>
</file>