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AF244" w14:textId="77777777" w:rsidR="00631880" w:rsidRDefault="00E5729F" w:rsidP="00631880">
      <w:pPr>
        <w:bidi w:val="0"/>
        <w:spacing w:line="360" w:lineRule="auto"/>
        <w:jc w:val="both"/>
        <w:rPr>
          <w:b/>
          <w:bCs/>
          <w:lang w:val="en"/>
        </w:rPr>
      </w:pPr>
      <w:r w:rsidRPr="00631880">
        <w:rPr>
          <w:b/>
          <w:bCs/>
        </w:rPr>
        <w:t>The impact of gestational</w:t>
      </w:r>
      <w:r w:rsidRPr="00631880">
        <w:rPr>
          <w:b/>
          <w:bCs/>
          <w:lang w:val="en"/>
        </w:rPr>
        <w:t xml:space="preserve"> weight gain on subclinical atherosclerosis,</w:t>
      </w:r>
      <w:r w:rsidRPr="00631880">
        <w:rPr>
          <w:b/>
          <w:bCs/>
        </w:rPr>
        <w:t xml:space="preserve"> placental</w:t>
      </w:r>
      <w:r w:rsidR="00631880">
        <w:rPr>
          <w:b/>
          <w:bCs/>
        </w:rPr>
        <w:t xml:space="preserve"> </w:t>
      </w:r>
      <w:proofErr w:type="gramStart"/>
      <w:r w:rsidRPr="00631880">
        <w:rPr>
          <w:b/>
          <w:bCs/>
        </w:rPr>
        <w:t>circulation</w:t>
      </w:r>
      <w:proofErr w:type="gramEnd"/>
      <w:r w:rsidRPr="00631880">
        <w:rPr>
          <w:b/>
          <w:bCs/>
          <w:lang w:val="en"/>
        </w:rPr>
        <w:t xml:space="preserve"> and neonatal complications</w:t>
      </w:r>
    </w:p>
    <w:p w14:paraId="25ACFAFD" w14:textId="77777777" w:rsidR="00E5729F" w:rsidRPr="00631880" w:rsidRDefault="00E5729F" w:rsidP="00631880">
      <w:pPr>
        <w:bidi w:val="0"/>
        <w:spacing w:line="360" w:lineRule="auto"/>
        <w:rPr>
          <w:rFonts w:eastAsia="Calibri"/>
        </w:rPr>
      </w:pPr>
      <w:r w:rsidRPr="00631880">
        <w:rPr>
          <w:rFonts w:eastAsia="Calibri"/>
          <w:b/>
          <w:bCs/>
          <w:color w:val="222222"/>
        </w:rPr>
        <w:t>D Hovel</w:t>
      </w:r>
      <w:r w:rsidRPr="00631880">
        <w:rPr>
          <w:rFonts w:eastAsia="Calibri"/>
          <w:b/>
          <w:bCs/>
          <w:color w:val="222222"/>
          <w:vertAlign w:val="superscript"/>
        </w:rPr>
        <w:t>1</w:t>
      </w:r>
      <w:r w:rsidRPr="00631880">
        <w:rPr>
          <w:rFonts w:eastAsia="Calibri"/>
          <w:b/>
          <w:bCs/>
          <w:color w:val="222222"/>
        </w:rPr>
        <w:t>, G Barda</w:t>
      </w:r>
      <w:r w:rsidRPr="00631880">
        <w:rPr>
          <w:rFonts w:eastAsia="Calibri"/>
          <w:b/>
          <w:bCs/>
          <w:color w:val="222222"/>
          <w:vertAlign w:val="superscript"/>
        </w:rPr>
        <w:t>2,5</w:t>
      </w:r>
      <w:r w:rsidRPr="00631880">
        <w:rPr>
          <w:rFonts w:eastAsia="Calibri"/>
          <w:b/>
          <w:bCs/>
          <w:color w:val="222222"/>
        </w:rPr>
        <w:t>, M Mashavi</w:t>
      </w:r>
      <w:r w:rsidRPr="00631880">
        <w:rPr>
          <w:rFonts w:eastAsia="Calibri"/>
          <w:b/>
          <w:bCs/>
          <w:color w:val="222222"/>
          <w:vertAlign w:val="superscript"/>
        </w:rPr>
        <w:t>1,5</w:t>
      </w:r>
      <w:r w:rsidRPr="00631880">
        <w:rPr>
          <w:rFonts w:eastAsia="Calibri"/>
          <w:b/>
          <w:bCs/>
          <w:color w:val="222222"/>
        </w:rPr>
        <w:t xml:space="preserve">, </w:t>
      </w:r>
      <w:proofErr w:type="spellStart"/>
      <w:r w:rsidRPr="00631880">
        <w:rPr>
          <w:rFonts w:eastAsia="Calibri"/>
          <w:b/>
          <w:bCs/>
          <w:color w:val="222222"/>
        </w:rPr>
        <w:t>Schraiber</w:t>
      </w:r>
      <w:proofErr w:type="spellEnd"/>
      <w:r w:rsidRPr="00631880">
        <w:rPr>
          <w:rFonts w:eastAsia="Calibri"/>
          <w:b/>
          <w:bCs/>
          <w:color w:val="222222"/>
          <w:vertAlign w:val="superscript"/>
        </w:rPr>
        <w:t xml:space="preserve"> 3,5</w:t>
      </w:r>
      <w:r w:rsidR="00631880">
        <w:rPr>
          <w:rFonts w:eastAsia="Calibri"/>
          <w:color w:val="222222"/>
          <w:vertAlign w:val="superscript"/>
        </w:rPr>
        <w:t xml:space="preserve"> </w:t>
      </w:r>
      <w:r w:rsidR="00631880">
        <w:rPr>
          <w:rFonts w:eastAsia="Calibri"/>
          <w:color w:val="222222"/>
        </w:rPr>
        <w:t>and</w:t>
      </w:r>
      <w:r w:rsidRPr="00631880">
        <w:rPr>
          <w:rFonts w:eastAsia="Calibri"/>
          <w:color w:val="222222"/>
        </w:rPr>
        <w:t xml:space="preserve"> </w:t>
      </w:r>
      <w:r w:rsidRPr="00631880">
        <w:rPr>
          <w:rFonts w:eastAsia="Calibri"/>
          <w:b/>
          <w:bCs/>
          <w:color w:val="222222"/>
        </w:rPr>
        <w:t>M Shargorodsky</w:t>
      </w:r>
      <w:r w:rsidRPr="00631880">
        <w:rPr>
          <w:rFonts w:eastAsia="Calibri"/>
          <w:b/>
          <w:bCs/>
          <w:color w:val="222222"/>
          <w:vertAlign w:val="superscript"/>
        </w:rPr>
        <w:t>4,5</w:t>
      </w:r>
      <w:r w:rsidR="00631880">
        <w:rPr>
          <w:rFonts w:eastAsia="Calibri"/>
          <w:b/>
          <w:bCs/>
          <w:color w:val="222222"/>
          <w:vertAlign w:val="superscript"/>
        </w:rPr>
        <w:t>*</w:t>
      </w:r>
    </w:p>
    <w:p w14:paraId="78257F0B" w14:textId="77777777" w:rsidR="00E5729F" w:rsidRPr="00631880" w:rsidRDefault="00E5729F" w:rsidP="00631880">
      <w:pPr>
        <w:shd w:val="clear" w:color="auto" w:fill="FFFFFF"/>
        <w:bidi w:val="0"/>
        <w:spacing w:line="360" w:lineRule="auto"/>
        <w:ind w:right="120"/>
        <w:rPr>
          <w:rFonts w:eastAsia="Calibri"/>
          <w:color w:val="222222"/>
        </w:rPr>
      </w:pPr>
      <w:r w:rsidRPr="00631880">
        <w:rPr>
          <w:rFonts w:eastAsia="Calibri"/>
          <w:color w:val="222222"/>
          <w:vertAlign w:val="superscript"/>
        </w:rPr>
        <w:t>1</w:t>
      </w:r>
      <w:r w:rsidRPr="00631880">
        <w:rPr>
          <w:rFonts w:eastAsia="Calibri"/>
          <w:color w:val="222222"/>
        </w:rPr>
        <w:t>Department of Medicine, Edith Wolfson Medical Center, Holon, Israel</w:t>
      </w:r>
    </w:p>
    <w:p w14:paraId="5187BF9B" w14:textId="77777777" w:rsidR="00E5729F" w:rsidRPr="00631880" w:rsidRDefault="00E5729F" w:rsidP="00631880">
      <w:pPr>
        <w:shd w:val="clear" w:color="auto" w:fill="FFFFFF"/>
        <w:bidi w:val="0"/>
        <w:spacing w:line="360" w:lineRule="auto"/>
        <w:ind w:right="120"/>
        <w:rPr>
          <w:rFonts w:eastAsia="Calibri"/>
        </w:rPr>
      </w:pPr>
      <w:r w:rsidRPr="00631880">
        <w:rPr>
          <w:rFonts w:eastAsia="Calibri"/>
          <w:color w:val="222222"/>
          <w:vertAlign w:val="superscript"/>
        </w:rPr>
        <w:t>2</w:t>
      </w:r>
      <w:r w:rsidRPr="00631880">
        <w:rPr>
          <w:rFonts w:eastAsia="Calibri"/>
          <w:color w:val="222222"/>
        </w:rPr>
        <w:t>Department of Obstetrics &amp; Gynecology, Edith Wolfson Medical Center, Holon, Israel</w:t>
      </w:r>
    </w:p>
    <w:p w14:paraId="5FCE8BD4" w14:textId="77777777" w:rsidR="00E5729F" w:rsidRPr="00631880" w:rsidRDefault="00E5729F" w:rsidP="00631880">
      <w:pPr>
        <w:shd w:val="clear" w:color="auto" w:fill="FFFFFF"/>
        <w:bidi w:val="0"/>
        <w:spacing w:line="360" w:lineRule="auto"/>
        <w:ind w:right="120"/>
        <w:rPr>
          <w:rFonts w:eastAsia="Calibri"/>
          <w:color w:val="222222"/>
        </w:rPr>
      </w:pPr>
      <w:r w:rsidRPr="00631880">
        <w:rPr>
          <w:rFonts w:eastAsia="Calibri"/>
          <w:color w:val="222222"/>
          <w:vertAlign w:val="superscript"/>
        </w:rPr>
        <w:t>3</w:t>
      </w:r>
      <w:r w:rsidRPr="00631880">
        <w:rPr>
          <w:rFonts w:eastAsia="Calibri"/>
          <w:color w:val="222222"/>
        </w:rPr>
        <w:t>Department of Pathology, Edith Wolfson Medical Center, Holon, Israel</w:t>
      </w:r>
    </w:p>
    <w:p w14:paraId="11D71AC9" w14:textId="77777777" w:rsidR="00E5729F" w:rsidRPr="00631880" w:rsidRDefault="00E5729F" w:rsidP="00631880">
      <w:pPr>
        <w:shd w:val="clear" w:color="auto" w:fill="FFFFFF"/>
        <w:bidi w:val="0"/>
        <w:spacing w:line="360" w:lineRule="auto"/>
        <w:ind w:right="120"/>
        <w:rPr>
          <w:rFonts w:eastAsia="Calibri"/>
        </w:rPr>
      </w:pPr>
      <w:r w:rsidRPr="00631880">
        <w:rPr>
          <w:rFonts w:eastAsia="Calibri"/>
          <w:color w:val="222222"/>
          <w:vertAlign w:val="superscript"/>
        </w:rPr>
        <w:t>4</w:t>
      </w:r>
      <w:r w:rsidRPr="00631880">
        <w:rPr>
          <w:rFonts w:eastAsia="Calibri"/>
          <w:color w:val="222222"/>
        </w:rPr>
        <w:t>Department of Endocrinology, Edith Wolfson Medical Center, Holon, Israel</w:t>
      </w:r>
    </w:p>
    <w:p w14:paraId="042B5189" w14:textId="77777777" w:rsidR="00E5729F" w:rsidRPr="00631880" w:rsidRDefault="00E5729F" w:rsidP="00631880">
      <w:pPr>
        <w:shd w:val="clear" w:color="auto" w:fill="FFFFFF"/>
        <w:bidi w:val="0"/>
        <w:spacing w:line="360" w:lineRule="auto"/>
        <w:ind w:right="-22"/>
        <w:rPr>
          <w:rFonts w:eastAsia="Calibri"/>
        </w:rPr>
      </w:pPr>
      <w:r w:rsidRPr="00631880">
        <w:rPr>
          <w:rFonts w:eastAsia="Calibri"/>
          <w:color w:val="222222"/>
          <w:vertAlign w:val="superscript"/>
        </w:rPr>
        <w:t>5</w:t>
      </w:r>
      <w:r w:rsidRPr="00631880">
        <w:rPr>
          <w:rFonts w:eastAsia="Calibri"/>
          <w:color w:val="222222"/>
        </w:rPr>
        <w:t>Sackler Faculty of Medicine, Tel Aviv University, Tel Aviv, Israel</w:t>
      </w:r>
    </w:p>
    <w:p w14:paraId="0CE3B74F" w14:textId="77777777" w:rsidR="00E5729F" w:rsidRPr="00631880" w:rsidRDefault="00631880" w:rsidP="00631880">
      <w:pPr>
        <w:bidi w:val="0"/>
        <w:spacing w:line="360" w:lineRule="auto"/>
        <w:jc w:val="center"/>
        <w:rPr>
          <w:b/>
          <w:bCs/>
          <w:lang w:val="en"/>
        </w:rPr>
      </w:pPr>
      <w:r>
        <w:rPr>
          <w:b/>
          <w:bCs/>
          <w:lang w:val="en"/>
        </w:rPr>
        <w:br/>
      </w:r>
      <w:r w:rsidR="00BB75AF" w:rsidRPr="00631880">
        <w:rPr>
          <w:b/>
          <w:bCs/>
          <w:lang w:val="en"/>
        </w:rPr>
        <w:t>Abstract</w:t>
      </w:r>
    </w:p>
    <w:p w14:paraId="16FC1091" w14:textId="77777777" w:rsidR="00E5729F" w:rsidRPr="00631880" w:rsidRDefault="00E5729F" w:rsidP="00631880">
      <w:pPr>
        <w:bidi w:val="0"/>
        <w:spacing w:line="360" w:lineRule="auto"/>
        <w:jc w:val="both"/>
        <w:rPr>
          <w:rFonts w:eastAsia="Calibri"/>
          <w:color w:val="222222"/>
        </w:rPr>
      </w:pPr>
      <w:r w:rsidRPr="00631880">
        <w:rPr>
          <w:lang w:val="en"/>
        </w:rPr>
        <w:t xml:space="preserve">Gestational weight gain (GWG) </w:t>
      </w:r>
      <w:r w:rsidRPr="00631880">
        <w:t>has been related to</w:t>
      </w:r>
      <w:r w:rsidRPr="00631880">
        <w:rPr>
          <w:lang w:val="en"/>
        </w:rPr>
        <w:t xml:space="preserve"> altering future weight-gain curve and increased risks of obesity later in life. </w:t>
      </w:r>
      <w:r w:rsidRPr="00631880">
        <w:t>Obesity may contribute to vascular atherosclerotic changes as well as excess of cardiovascular morbidity and mortality observed in these patients.</w:t>
      </w:r>
      <w:r w:rsidRPr="00631880">
        <w:rPr>
          <w:color w:val="000000"/>
        </w:rPr>
        <w:t xml:space="preserve"> </w:t>
      </w:r>
      <w:r w:rsidRPr="00631880">
        <w:rPr>
          <w:rFonts w:eastAsia="MS Mincho"/>
          <w:lang w:eastAsia="ja-JP"/>
        </w:rPr>
        <w:t>Noninvasive arterial testing such as</w:t>
      </w:r>
      <w:r w:rsidRPr="00631880">
        <w:rPr>
          <w:rFonts w:eastAsia="MS Mincho"/>
          <w:color w:val="000000"/>
          <w:lang w:eastAsia="ja-JP"/>
        </w:rPr>
        <w:t xml:space="preserve"> </w:t>
      </w:r>
      <w:r w:rsidRPr="00631880">
        <w:rPr>
          <w:rFonts w:eastAsia="MS Mincho"/>
          <w:lang w:eastAsia="ja-JP"/>
        </w:rPr>
        <w:t>ultrasonographic measurement of carotid IMT is considered</w:t>
      </w:r>
      <w:r w:rsidRPr="00631880">
        <w:rPr>
          <w:rFonts w:eastAsia="MS Mincho"/>
          <w:vertAlign w:val="superscript"/>
          <w:lang w:eastAsia="ja-JP"/>
        </w:rPr>
        <w:t xml:space="preserve"> </w:t>
      </w:r>
      <w:r w:rsidRPr="00631880">
        <w:rPr>
          <w:rFonts w:eastAsia="MS Mincho"/>
          <w:lang w:eastAsia="ja-JP"/>
        </w:rPr>
        <w:t>a surrogate for systemic atherosclerotic disease burden and is predictive</w:t>
      </w:r>
      <w:r w:rsidRPr="00631880">
        <w:rPr>
          <w:rFonts w:eastAsia="MS Mincho"/>
          <w:vertAlign w:val="superscript"/>
          <w:lang w:eastAsia="ja-JP"/>
        </w:rPr>
        <w:t xml:space="preserve"> </w:t>
      </w:r>
      <w:r w:rsidRPr="00631880">
        <w:rPr>
          <w:rFonts w:eastAsia="MS Mincho"/>
          <w:lang w:eastAsia="ja-JP"/>
        </w:rPr>
        <w:t>of cardiovascular events in asymptomatic individuals as well as recurrent events in patients with known cardiovascular</w:t>
      </w:r>
      <w:r w:rsidRPr="00631880">
        <w:rPr>
          <w:rFonts w:eastAsia="MS Mincho"/>
          <w:vertAlign w:val="superscript"/>
          <w:lang w:eastAsia="ja-JP"/>
        </w:rPr>
        <w:t xml:space="preserve"> </w:t>
      </w:r>
      <w:r w:rsidRPr="00631880">
        <w:rPr>
          <w:rFonts w:eastAsia="MS Mincho"/>
          <w:lang w:eastAsia="ja-JP"/>
        </w:rPr>
        <w:t>disease.</w:t>
      </w:r>
      <w:r w:rsidRPr="00631880">
        <w:rPr>
          <w:lang w:val="en"/>
        </w:rPr>
        <w:t xml:space="preserve"> </w:t>
      </w:r>
      <w:r w:rsidR="00885692" w:rsidRPr="00631880">
        <w:rPr>
          <w:lang w:val="en"/>
        </w:rPr>
        <w:t>Currently, t</w:t>
      </w:r>
      <w:r w:rsidRPr="00631880">
        <w:rPr>
          <w:lang w:val="en"/>
        </w:rPr>
        <w:t xml:space="preserve">here is no consistent evidence regarding </w:t>
      </w:r>
      <w:r w:rsidRPr="00631880">
        <w:t>vascular impact of excessive GWG.</w:t>
      </w:r>
      <w:r w:rsidRPr="00631880">
        <w:rPr>
          <w:rFonts w:eastAsia="Calibri"/>
          <w:color w:val="231F20"/>
        </w:rPr>
        <w:t xml:space="preserve"> </w:t>
      </w:r>
    </w:p>
    <w:p w14:paraId="5F144D5C" w14:textId="77777777" w:rsidR="00E5729F" w:rsidRPr="00631880" w:rsidRDefault="00E5729F" w:rsidP="00631880">
      <w:pPr>
        <w:bidi w:val="0"/>
        <w:spacing w:line="360" w:lineRule="auto"/>
        <w:jc w:val="both"/>
        <w:rPr>
          <w:rFonts w:eastAsia="Calibri"/>
          <w:rtl/>
        </w:rPr>
      </w:pPr>
      <w:r w:rsidRPr="00631880">
        <w:rPr>
          <w:rFonts w:eastAsia="Calibri"/>
          <w:color w:val="222222"/>
        </w:rPr>
        <w:t xml:space="preserve">The present study was designed to investigate the </w:t>
      </w:r>
      <w:r w:rsidRPr="00631880">
        <w:rPr>
          <w:rFonts w:eastAsia="Calibri"/>
          <w:color w:val="222222"/>
          <w:lang w:val="en"/>
        </w:rPr>
        <w:t xml:space="preserve">impact of </w:t>
      </w:r>
      <w:r w:rsidR="00885692" w:rsidRPr="00631880">
        <w:rPr>
          <w:rFonts w:eastAsia="Calibri"/>
          <w:color w:val="222222"/>
          <w:lang w:val="en"/>
        </w:rPr>
        <w:t>GWG</w:t>
      </w:r>
      <w:r w:rsidRPr="00631880">
        <w:rPr>
          <w:rFonts w:eastAsia="Calibri"/>
          <w:color w:val="222222"/>
          <w:lang w:val="en"/>
        </w:rPr>
        <w:t xml:space="preserve"> on </w:t>
      </w:r>
      <w:r w:rsidRPr="00631880">
        <w:rPr>
          <w:lang w:val="en"/>
        </w:rPr>
        <w:t>early</w:t>
      </w:r>
      <w:r w:rsidRPr="00631880">
        <w:t xml:space="preserve"> atherosclerotic changes during late pregnancy, </w:t>
      </w:r>
      <w:r w:rsidRPr="00631880">
        <w:rPr>
          <w:color w:val="000000"/>
        </w:rPr>
        <w:t xml:space="preserve">using intima media thickness, as well as </w:t>
      </w:r>
      <w:r w:rsidRPr="00631880">
        <w:rPr>
          <w:rFonts w:eastAsia="Calibri"/>
          <w:color w:val="222222"/>
          <w:lang w:val="en"/>
        </w:rPr>
        <w:t>placental</w:t>
      </w:r>
      <w:r w:rsidRPr="00631880">
        <w:rPr>
          <w:rFonts w:eastAsia="Calibri"/>
          <w:color w:val="222222"/>
        </w:rPr>
        <w:t xml:space="preserve"> vascular </w:t>
      </w:r>
      <w:r w:rsidRPr="00631880">
        <w:rPr>
          <w:rFonts w:eastAsia="Calibri"/>
          <w:color w:val="222222"/>
          <w:lang w:val="en"/>
        </w:rPr>
        <w:t>circulation and inflammatory lesions and pregnancy outcome.</w:t>
      </w:r>
      <w:r w:rsidRPr="00631880">
        <w:rPr>
          <w:rFonts w:eastAsia="Calibri"/>
          <w:color w:val="555555"/>
        </w:rPr>
        <w:t> </w:t>
      </w:r>
    </w:p>
    <w:p w14:paraId="28E8B597" w14:textId="77777777" w:rsidR="00E5729F" w:rsidRPr="00631880" w:rsidRDefault="00E5729F" w:rsidP="00631880">
      <w:pPr>
        <w:tabs>
          <w:tab w:val="left" w:pos="7946"/>
        </w:tabs>
        <w:bidi w:val="0"/>
        <w:spacing w:line="360" w:lineRule="auto"/>
        <w:jc w:val="both"/>
        <w:rPr>
          <w:lang w:val="en"/>
        </w:rPr>
      </w:pPr>
      <w:r w:rsidRPr="00631880">
        <w:rPr>
          <w:rFonts w:eastAsia="Calibri"/>
          <w:color w:val="222222"/>
        </w:rPr>
        <w:t xml:space="preserve">The study group consisted of 59 pregnant women who gave birth </w:t>
      </w:r>
      <w:r w:rsidRPr="00631880">
        <w:rPr>
          <w:rFonts w:eastAsia="Calibri"/>
          <w:color w:val="222222"/>
          <w:lang w:val="en"/>
        </w:rPr>
        <w:t xml:space="preserve">and underwent a placental histopathological examination </w:t>
      </w:r>
      <w:r w:rsidRPr="00631880">
        <w:rPr>
          <w:rFonts w:eastAsia="Calibri"/>
          <w:color w:val="222222"/>
        </w:rPr>
        <w:t>at the Department of Obstetrics and Gynecology, Edith Wolfson Medical Center, Israel </w:t>
      </w:r>
      <w:r w:rsidRPr="00631880">
        <w:rPr>
          <w:rFonts w:eastAsia="Calibri"/>
          <w:color w:val="222222"/>
          <w:lang w:val="en"/>
        </w:rPr>
        <w:t>during 201</w:t>
      </w:r>
      <w:r w:rsidR="00BB75AF" w:rsidRPr="00631880">
        <w:rPr>
          <w:rFonts w:eastAsia="Calibri"/>
          <w:color w:val="222222"/>
          <w:lang w:val="en"/>
        </w:rPr>
        <w:t>9</w:t>
      </w:r>
      <w:r w:rsidRPr="00631880">
        <w:rPr>
          <w:rFonts w:eastAsia="Calibri"/>
          <w:color w:val="222222"/>
          <w:lang w:val="en"/>
        </w:rPr>
        <w:t xml:space="preserve">. </w:t>
      </w:r>
    </w:p>
    <w:p w14:paraId="028B1C4E" w14:textId="77777777" w:rsidR="00BB75AF" w:rsidRPr="00631880" w:rsidRDefault="00BB75AF" w:rsidP="00631880">
      <w:pPr>
        <w:tabs>
          <w:tab w:val="left" w:pos="7946"/>
        </w:tabs>
        <w:bidi w:val="0"/>
        <w:spacing w:line="360" w:lineRule="auto"/>
        <w:jc w:val="both"/>
      </w:pPr>
      <w:r w:rsidRPr="00631880">
        <w:rPr>
          <w:lang w:val="en"/>
        </w:rPr>
        <w:t>According to</w:t>
      </w:r>
      <w:r w:rsidR="00E5729F" w:rsidRPr="00631880">
        <w:rPr>
          <w:lang w:val="en"/>
        </w:rPr>
        <w:t xml:space="preserve"> the IOM guidelines the study group has been divided into two groups:</w:t>
      </w:r>
      <w:r w:rsidR="00E5729F" w:rsidRPr="00631880">
        <w:rPr>
          <w:rFonts w:eastAsia="Calibri"/>
          <w:lang w:val="en"/>
        </w:rPr>
        <w:t xml:space="preserve"> Group 1 included 32 women with pregnancy weight gain within recommended range; Group 2 included 27 women with excessive weight gain during pregnancy.  </w:t>
      </w:r>
    </w:p>
    <w:p w14:paraId="2DC98386" w14:textId="77777777" w:rsidR="00E5729F" w:rsidRPr="00631880" w:rsidRDefault="00E5729F" w:rsidP="00631880">
      <w:pPr>
        <w:tabs>
          <w:tab w:val="left" w:pos="7946"/>
        </w:tabs>
        <w:bidi w:val="0"/>
        <w:spacing w:line="360" w:lineRule="auto"/>
        <w:jc w:val="both"/>
        <w:rPr>
          <w:rFonts w:eastAsia="Calibri"/>
          <w:b/>
          <w:bCs/>
          <w:color w:val="222222"/>
          <w:u w:val="single"/>
        </w:rPr>
      </w:pPr>
      <w:bookmarkStart w:id="0" w:name="bbib17"/>
      <w:r w:rsidRPr="00631880">
        <w:t xml:space="preserve">The IMT was measured from non-diseased intimal and medial wall layers of the carotid artery on both sides, visualized by high-resolution 7.5 MHz ultrasound (Apogee CX Color, ATL). </w:t>
      </w:r>
      <w:bookmarkEnd w:id="0"/>
    </w:p>
    <w:p w14:paraId="26C78573" w14:textId="77777777" w:rsidR="00885692" w:rsidRPr="00631880" w:rsidRDefault="003324EA" w:rsidP="00631880">
      <w:pPr>
        <w:tabs>
          <w:tab w:val="left" w:pos="7946"/>
        </w:tabs>
        <w:bidi w:val="0"/>
        <w:spacing w:line="360" w:lineRule="auto"/>
        <w:jc w:val="both"/>
        <w:rPr>
          <w:rFonts w:eastAsia="Calibri"/>
          <w:color w:val="222222"/>
        </w:rPr>
      </w:pPr>
      <w:r w:rsidRPr="00631880">
        <w:rPr>
          <w:rFonts w:eastAsia="Calibri"/>
          <w:color w:val="222222"/>
        </w:rPr>
        <w:t>P</w:t>
      </w:r>
      <w:r w:rsidR="00E5729F" w:rsidRPr="00631880">
        <w:rPr>
          <w:rFonts w:eastAsia="Calibri"/>
          <w:color w:val="222222"/>
        </w:rPr>
        <w:t>lacental histology</w:t>
      </w:r>
      <w:r w:rsidRPr="00631880">
        <w:rPr>
          <w:rFonts w:eastAsia="Calibri"/>
          <w:color w:val="222222"/>
        </w:rPr>
        <w:t xml:space="preserve"> subdivided placental findings to lesions consistent with maternal vascular and fetal vascular malperfusion</w:t>
      </w:r>
      <w:r w:rsidR="00E5729F" w:rsidRPr="00631880">
        <w:rPr>
          <w:rFonts w:eastAsia="Calibri"/>
          <w:color w:val="222222"/>
        </w:rPr>
        <w:t xml:space="preserve"> </w:t>
      </w:r>
      <w:r w:rsidR="00885692" w:rsidRPr="00631880">
        <w:rPr>
          <w:rFonts w:eastAsia="Calibri"/>
          <w:color w:val="222222"/>
        </w:rPr>
        <w:t>according to the criteria of the Society for Pediatric Pathology, subdividing placental findings to lesions consistent with maternal vascular and fetal vascular malperfusion, as well as inflammatory response of maternal and fetal origin.</w:t>
      </w:r>
    </w:p>
    <w:p w14:paraId="4F57481F" w14:textId="77777777" w:rsidR="003324EA" w:rsidRPr="00631880" w:rsidRDefault="00885692" w:rsidP="00631880">
      <w:pPr>
        <w:tabs>
          <w:tab w:val="left" w:pos="7946"/>
        </w:tabs>
        <w:bidi w:val="0"/>
        <w:spacing w:line="360" w:lineRule="auto"/>
        <w:jc w:val="both"/>
        <w:rPr>
          <w:rFonts w:eastAsia="Calibri"/>
          <w:color w:val="000000"/>
        </w:rPr>
      </w:pPr>
      <w:r w:rsidRPr="00631880">
        <w:rPr>
          <w:rFonts w:eastAsia="Calibri"/>
          <w:color w:val="000000"/>
        </w:rPr>
        <w:lastRenderedPageBreak/>
        <w:t xml:space="preserve">Results: </w:t>
      </w:r>
      <w:r w:rsidR="003324EA" w:rsidRPr="00631880">
        <w:rPr>
          <w:rFonts w:eastAsia="Calibri"/>
          <w:color w:val="000000"/>
        </w:rPr>
        <w:t xml:space="preserve">IMT levels differed between groups and was significantly higher in group 1 compared to Group 2 (0.7+/-0.1 vs 0.6+/-0/1, p=0.028). </w:t>
      </w:r>
    </w:p>
    <w:p w14:paraId="6276A1B4" w14:textId="77777777" w:rsidR="003324EA" w:rsidRPr="00631880" w:rsidRDefault="003324EA" w:rsidP="00631880">
      <w:pPr>
        <w:tabs>
          <w:tab w:val="left" w:pos="7946"/>
        </w:tabs>
        <w:bidi w:val="0"/>
        <w:spacing w:line="360" w:lineRule="auto"/>
        <w:jc w:val="both"/>
        <w:rPr>
          <w:rFonts w:eastAsia="Calibri"/>
          <w:color w:val="000000"/>
        </w:rPr>
      </w:pPr>
      <w:r w:rsidRPr="00631880">
        <w:rPr>
          <w:rFonts w:eastAsia="Calibri"/>
          <w:color w:val="000000"/>
        </w:rPr>
        <w:t xml:space="preserve">Multiple linear regression analysis of IMT included variables based on their associations in univariate analyses with a backward approach. Included in the model were pre-gestational BMI, HDL cholesterol and fasting glucose. The model was significant (p=0.001), and correctly classified 64.7% of study patients. In this model, pre-pregnancy BMI remained a significant independent predictor of subclinical atherosclerosis </w:t>
      </w:r>
      <w:r w:rsidRPr="00631880">
        <w:rPr>
          <w:color w:val="000000"/>
        </w:rPr>
        <w:t xml:space="preserve">assessed by IMT </w:t>
      </w:r>
      <w:r w:rsidRPr="00631880">
        <w:rPr>
          <w:rFonts w:eastAsia="Calibri"/>
          <w:color w:val="000000"/>
        </w:rPr>
        <w:t xml:space="preserve">(OR </w:t>
      </w:r>
      <w:r w:rsidRPr="00631880">
        <w:t>4.314</w:t>
      </w:r>
      <w:r w:rsidRPr="00631880">
        <w:rPr>
          <w:rFonts w:eastAsia="Calibri"/>
          <w:color w:val="000000"/>
        </w:rPr>
        <w:t>, 95% CI 0.0599-0.674, p=0.044). Among placental lesions related to fetal vascular malperfusion, villous changes consistent with fetal thrombo-occlusive disease (FTOD) were significantly higher in Group 1 than in group 2, p=0.034).</w:t>
      </w:r>
    </w:p>
    <w:p w14:paraId="7C266B6D" w14:textId="77777777" w:rsidR="00E5729F" w:rsidRPr="00631880" w:rsidRDefault="00E5729F" w:rsidP="00631880">
      <w:pPr>
        <w:tabs>
          <w:tab w:val="left" w:pos="7946"/>
        </w:tabs>
        <w:bidi w:val="0"/>
        <w:spacing w:line="360" w:lineRule="auto"/>
        <w:jc w:val="both"/>
        <w:rPr>
          <w:rFonts w:eastAsia="Calibri"/>
        </w:rPr>
      </w:pPr>
      <w:r w:rsidRPr="00631880">
        <w:rPr>
          <w:rFonts w:eastAsia="Calibri"/>
          <w:color w:val="000000"/>
        </w:rPr>
        <w:t>In the present study,</w:t>
      </w:r>
      <w:r w:rsidRPr="00631880">
        <w:rPr>
          <w:rFonts w:eastAsia="Calibri"/>
          <w:color w:val="222222"/>
          <w:lang w:val="en"/>
        </w:rPr>
        <w:t xml:space="preserve"> excessive weight gain during pregnancy</w:t>
      </w:r>
      <w:r w:rsidRPr="00631880">
        <w:rPr>
          <w:rFonts w:eastAsia="Calibri"/>
          <w:color w:val="000000"/>
          <w:lang w:val="en"/>
        </w:rPr>
        <w:t xml:space="preserve"> was </w:t>
      </w:r>
      <w:r w:rsidRPr="00631880">
        <w:rPr>
          <w:rFonts w:eastAsia="Calibri"/>
          <w:color w:val="000000"/>
        </w:rPr>
        <w:t>associated with an increased</w:t>
      </w:r>
      <w:r w:rsidRPr="00631880">
        <w:rPr>
          <w:rFonts w:eastAsia="Calibri"/>
          <w:color w:val="000000"/>
          <w:lang w:val="en"/>
        </w:rPr>
        <w:t xml:space="preserve"> IMT in late pregnancy and emerged</w:t>
      </w:r>
      <w:r w:rsidRPr="00631880">
        <w:rPr>
          <w:rFonts w:eastAsia="Calibri"/>
        </w:rPr>
        <w:t xml:space="preserve"> as a significant predictor of subclinical atherosclerosis. Among neonatal complications, rate of macrosomia was significantly higher in</w:t>
      </w:r>
      <w:r w:rsidRPr="00631880">
        <w:rPr>
          <w:rFonts w:eastAsia="Calibri"/>
          <w:color w:val="222222"/>
          <w:lang w:val="en"/>
        </w:rPr>
        <w:t xml:space="preserve"> women with excessive weight gain during pregnancy</w:t>
      </w:r>
      <w:r w:rsidRPr="00631880">
        <w:rPr>
          <w:rFonts w:eastAsia="Calibri"/>
        </w:rPr>
        <w:t xml:space="preserve"> compared with pregnant women with weight gain within recommended range.  Weight gain during pregnancy was associated with higher rate of </w:t>
      </w:r>
      <w:r w:rsidRPr="00631880">
        <w:rPr>
          <w:rFonts w:eastAsia="Calibri"/>
          <w:color w:val="000000"/>
        </w:rPr>
        <w:t xml:space="preserve">placental villous changes consistent with fetal thrombo-occlusive disease (FTOD).    </w:t>
      </w:r>
    </w:p>
    <w:p w14:paraId="68F42A28" w14:textId="77777777" w:rsidR="00E5729F" w:rsidRPr="00631880" w:rsidRDefault="00E5729F" w:rsidP="00631880">
      <w:pPr>
        <w:bidi w:val="0"/>
        <w:spacing w:after="120" w:line="360" w:lineRule="auto"/>
        <w:jc w:val="both"/>
        <w:rPr>
          <w:lang w:eastAsia="fr-FR"/>
        </w:rPr>
      </w:pPr>
      <w:r w:rsidRPr="00631880">
        <w:rPr>
          <w:rFonts w:eastAsia="Calibri"/>
          <w:b/>
          <w:bCs/>
          <w:color w:val="000000"/>
        </w:rPr>
        <w:t>In conclusion</w:t>
      </w:r>
      <w:r w:rsidRPr="00631880">
        <w:rPr>
          <w:rFonts w:eastAsia="Calibri"/>
          <w:color w:val="000000"/>
        </w:rPr>
        <w:t>,</w:t>
      </w:r>
      <w:r w:rsidRPr="00631880">
        <w:rPr>
          <w:rFonts w:eastAsia="Calibri"/>
          <w:color w:val="222222"/>
          <w:lang w:val="en"/>
        </w:rPr>
        <w:t xml:space="preserve"> </w:t>
      </w:r>
      <w:r w:rsidRPr="00631880">
        <w:rPr>
          <w:lang w:eastAsia="fr-FR"/>
        </w:rPr>
        <w:t xml:space="preserve">the present study demonstrated that </w:t>
      </w:r>
      <w:r w:rsidRPr="00631880">
        <w:rPr>
          <w:rFonts w:eastAsia="Calibri"/>
          <w:color w:val="222222"/>
          <w:lang w:val="en"/>
        </w:rPr>
        <w:t xml:space="preserve">excessive weight gain during pregnancy </w:t>
      </w:r>
      <w:r w:rsidRPr="00631880">
        <w:rPr>
          <w:lang w:eastAsia="fr-FR"/>
        </w:rPr>
        <w:t xml:space="preserve">is associated with an adverse effect on early stages of subclinical atherosclerosis, placental vascular </w:t>
      </w:r>
      <w:proofErr w:type="gramStart"/>
      <w:r w:rsidRPr="00631880">
        <w:rPr>
          <w:lang w:eastAsia="fr-FR"/>
        </w:rPr>
        <w:t>circulation</w:t>
      </w:r>
      <w:proofErr w:type="gramEnd"/>
      <w:r w:rsidRPr="00631880">
        <w:rPr>
          <w:lang w:eastAsia="fr-FR"/>
        </w:rPr>
        <w:t xml:space="preserve"> and neonatal complications.  The precise mechanism for these vascular changes, as well as the overall clinical impact of weight control during </w:t>
      </w:r>
      <w:r w:rsidR="00432A2E" w:rsidRPr="00631880">
        <w:rPr>
          <w:lang w:eastAsia="fr-FR"/>
        </w:rPr>
        <w:t>pregnancy on IMT</w:t>
      </w:r>
      <w:r w:rsidRPr="00631880">
        <w:rPr>
          <w:lang w:eastAsia="fr-FR"/>
        </w:rPr>
        <w:t>, placental vascular circulation as well as pregnancy outcomes, deserves further investigation.</w:t>
      </w:r>
    </w:p>
    <w:p w14:paraId="7A024095" w14:textId="77777777" w:rsidR="00D5048E" w:rsidRDefault="00BB5F00" w:rsidP="00631880">
      <w:pPr>
        <w:tabs>
          <w:tab w:val="left" w:pos="7946"/>
        </w:tabs>
        <w:bidi w:val="0"/>
        <w:spacing w:line="360" w:lineRule="auto"/>
        <w:jc w:val="both"/>
        <w:rPr>
          <w:b/>
          <w:bCs/>
        </w:rPr>
      </w:pPr>
      <w:r>
        <w:rPr>
          <w:b/>
          <w:bCs/>
        </w:rPr>
        <w:br/>
      </w:r>
      <w:r w:rsidR="00631880">
        <w:rPr>
          <w:b/>
          <w:bCs/>
        </w:rPr>
        <w:t>Biography</w:t>
      </w:r>
    </w:p>
    <w:p w14:paraId="43747E3A" w14:textId="77777777" w:rsidR="00631880" w:rsidRPr="00631880" w:rsidRDefault="00631880" w:rsidP="00631880">
      <w:pPr>
        <w:shd w:val="clear" w:color="auto" w:fill="FFFFFF"/>
        <w:bidi w:val="0"/>
        <w:spacing w:line="360" w:lineRule="auto"/>
        <w:ind w:right="120"/>
        <w:jc w:val="both"/>
        <w:rPr>
          <w:rFonts w:eastAsia="Calibri"/>
        </w:rPr>
      </w:pPr>
      <w:r w:rsidRPr="00631880">
        <w:t xml:space="preserve">M </w:t>
      </w:r>
      <w:proofErr w:type="spellStart"/>
      <w:r w:rsidRPr="00631880">
        <w:t>Shargorodsky</w:t>
      </w:r>
      <w:proofErr w:type="spellEnd"/>
      <w:r w:rsidRPr="00631880">
        <w:t xml:space="preserve"> </w:t>
      </w:r>
      <w:r>
        <w:t xml:space="preserve">is affiliated to the </w:t>
      </w:r>
      <w:r w:rsidRPr="00631880">
        <w:rPr>
          <w:rFonts w:eastAsia="Calibri"/>
          <w:color w:val="222222"/>
        </w:rPr>
        <w:t>Department of Endocrinology, Edith Wolfson Medical Center, Holon, Israel</w:t>
      </w:r>
      <w:r>
        <w:rPr>
          <w:rFonts w:eastAsia="Calibri"/>
          <w:color w:val="222222"/>
        </w:rPr>
        <w:t xml:space="preserve"> and </w:t>
      </w:r>
      <w:r w:rsidRPr="00631880">
        <w:rPr>
          <w:rFonts w:eastAsia="Calibri"/>
          <w:color w:val="222222"/>
        </w:rPr>
        <w:t>Sackler Faculty of Medicine, Tel Aviv University, Tel Aviv, Israel</w:t>
      </w:r>
      <w:r>
        <w:rPr>
          <w:rFonts w:eastAsia="Calibri"/>
          <w:color w:val="222222"/>
        </w:rPr>
        <w:t>.</w:t>
      </w:r>
      <w:r w:rsidR="00BB5F00" w:rsidRPr="00BB5F00">
        <w:t xml:space="preserve"> </w:t>
      </w:r>
      <w:r w:rsidR="00BB5F00" w:rsidRPr="00BB5F00">
        <w:rPr>
          <w:rFonts w:eastAsia="Calibri"/>
          <w:color w:val="222222"/>
        </w:rPr>
        <w:t>H</w:t>
      </w:r>
      <w:r w:rsidR="00BB5F00">
        <w:rPr>
          <w:rFonts w:eastAsia="Calibri"/>
          <w:color w:val="222222"/>
        </w:rPr>
        <w:t>er</w:t>
      </w:r>
      <w:r w:rsidR="00BB5F00" w:rsidRPr="00BB5F00">
        <w:rPr>
          <w:rFonts w:eastAsia="Calibri"/>
          <w:color w:val="222222"/>
        </w:rPr>
        <w:t xml:space="preserve"> research interests reflect in h</w:t>
      </w:r>
      <w:r w:rsidR="00BB5F00">
        <w:rPr>
          <w:rFonts w:eastAsia="Calibri"/>
          <w:color w:val="222222"/>
        </w:rPr>
        <w:t>er</w:t>
      </w:r>
      <w:r w:rsidR="00BB5F00" w:rsidRPr="00BB5F00">
        <w:rPr>
          <w:rFonts w:eastAsia="Calibri"/>
          <w:color w:val="222222"/>
        </w:rPr>
        <w:t xml:space="preserve"> wide range various national and international journals. </w:t>
      </w:r>
    </w:p>
    <w:sectPr w:rsidR="00631880" w:rsidRPr="00631880" w:rsidSect="00631880">
      <w:footerReference w:type="even" r:id="rId7"/>
      <w:footerReference w:type="default" r:id="rId8"/>
      <w:pgSz w:w="11906" w:h="16838"/>
      <w:pgMar w:top="1440" w:right="1416"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35A85" w14:textId="77777777" w:rsidR="00DE020C" w:rsidRDefault="00DE020C">
      <w:r>
        <w:separator/>
      </w:r>
    </w:p>
  </w:endnote>
  <w:endnote w:type="continuationSeparator" w:id="0">
    <w:p w14:paraId="081D30B1" w14:textId="77777777" w:rsidR="00DE020C" w:rsidRDefault="00DE0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Narkisim">
    <w:charset w:val="00"/>
    <w:family w:val="swiss"/>
    <w:pitch w:val="variable"/>
    <w:sig w:usb0="00000803" w:usb1="00000000" w:usb2="00000000" w:usb3="00000000" w:csb0="00000021" w:csb1="00000000"/>
  </w:font>
  <w:font w:name="Miriam">
    <w:charset w:val="00"/>
    <w:family w:val="swiss"/>
    <w:pitch w:val="variable"/>
    <w:sig w:usb0="00000803" w:usb1="00000000" w:usb2="00000000" w:usb3="00000000" w:csb0="00000021" w:csb1="00000000"/>
  </w:font>
  <w:font w:name="Batang">
    <w:altName w:val="바탕"/>
    <w:panose1 w:val="02030600000101010101"/>
    <w:charset w:val="81"/>
    <w:family w:val="auto"/>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79CF" w14:textId="77777777" w:rsidR="00095F08" w:rsidRDefault="00095F08" w:rsidP="00A3003B">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sidR="00631880">
      <w:rPr>
        <w:rStyle w:val="PageNumber"/>
        <w:rtl/>
      </w:rPr>
      <w:fldChar w:fldCharType="separate"/>
    </w:r>
    <w:r w:rsidR="00631880">
      <w:rPr>
        <w:rStyle w:val="PageNumber"/>
        <w:noProof/>
      </w:rPr>
      <w:t>3</w:t>
    </w:r>
    <w:r>
      <w:rPr>
        <w:rStyle w:val="PageNumber"/>
        <w:rtl/>
      </w:rPr>
      <w:fldChar w:fldCharType="end"/>
    </w:r>
  </w:p>
  <w:p w14:paraId="47D3A9C8" w14:textId="77777777" w:rsidR="00095F08" w:rsidRDefault="00095F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F5C81" w14:textId="77777777" w:rsidR="00095F08" w:rsidRDefault="00095F08" w:rsidP="00A3003B">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620A4F">
      <w:rPr>
        <w:rStyle w:val="PageNumber"/>
        <w:noProof/>
        <w:rtl/>
      </w:rPr>
      <w:t>2</w:t>
    </w:r>
    <w:r>
      <w:rPr>
        <w:rStyle w:val="PageNumber"/>
        <w:rtl/>
      </w:rPr>
      <w:fldChar w:fldCharType="end"/>
    </w:r>
  </w:p>
  <w:p w14:paraId="524C8BB7" w14:textId="77777777" w:rsidR="00095F08" w:rsidRDefault="00095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CBC5E" w14:textId="77777777" w:rsidR="00DE020C" w:rsidRDefault="00DE020C">
      <w:r>
        <w:separator/>
      </w:r>
    </w:p>
  </w:footnote>
  <w:footnote w:type="continuationSeparator" w:id="0">
    <w:p w14:paraId="0506F6ED" w14:textId="77777777" w:rsidR="00DE020C" w:rsidRDefault="00DE0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D7880"/>
    <w:multiLevelType w:val="hybridMultilevel"/>
    <w:tmpl w:val="1C86B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752D6"/>
    <w:multiLevelType w:val="hybridMultilevel"/>
    <w:tmpl w:val="6A5CAF6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7A3B0F37"/>
    <w:multiLevelType w:val="hybridMultilevel"/>
    <w:tmpl w:val="CEDC74C0"/>
    <w:lvl w:ilvl="0" w:tplc="040D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9923479">
    <w:abstractNumId w:val="2"/>
  </w:num>
  <w:num w:numId="2" w16cid:durableId="1168980117">
    <w:abstractNumId w:val="1"/>
  </w:num>
  <w:num w:numId="3" w16cid:durableId="1906449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7594"/>
    <w:rsid w:val="00001310"/>
    <w:rsid w:val="00041B16"/>
    <w:rsid w:val="00055219"/>
    <w:rsid w:val="00057C08"/>
    <w:rsid w:val="00072ABC"/>
    <w:rsid w:val="000865D6"/>
    <w:rsid w:val="00095F08"/>
    <w:rsid w:val="000A6173"/>
    <w:rsid w:val="000A64FB"/>
    <w:rsid w:val="000B1ED9"/>
    <w:rsid w:val="000B2271"/>
    <w:rsid w:val="000B2D34"/>
    <w:rsid w:val="000D2396"/>
    <w:rsid w:val="000F1813"/>
    <w:rsid w:val="00105231"/>
    <w:rsid w:val="001062E7"/>
    <w:rsid w:val="00114393"/>
    <w:rsid w:val="00116364"/>
    <w:rsid w:val="001266E2"/>
    <w:rsid w:val="00126D51"/>
    <w:rsid w:val="001317C7"/>
    <w:rsid w:val="00143F6C"/>
    <w:rsid w:val="0014717E"/>
    <w:rsid w:val="001520D5"/>
    <w:rsid w:val="00154167"/>
    <w:rsid w:val="00177FEA"/>
    <w:rsid w:val="00182289"/>
    <w:rsid w:val="001864C7"/>
    <w:rsid w:val="00187A24"/>
    <w:rsid w:val="001933E7"/>
    <w:rsid w:val="00194133"/>
    <w:rsid w:val="00195B6E"/>
    <w:rsid w:val="001A4D77"/>
    <w:rsid w:val="001F6BA2"/>
    <w:rsid w:val="001F6CDD"/>
    <w:rsid w:val="001F6CEC"/>
    <w:rsid w:val="002016C3"/>
    <w:rsid w:val="002022F9"/>
    <w:rsid w:val="002149FE"/>
    <w:rsid w:val="00240E7F"/>
    <w:rsid w:val="002444D7"/>
    <w:rsid w:val="00246D53"/>
    <w:rsid w:val="00266106"/>
    <w:rsid w:val="002A49C9"/>
    <w:rsid w:val="002B011C"/>
    <w:rsid w:val="002B05DF"/>
    <w:rsid w:val="002C56A7"/>
    <w:rsid w:val="002E0FE2"/>
    <w:rsid w:val="002E73D2"/>
    <w:rsid w:val="002E7FB3"/>
    <w:rsid w:val="003135EE"/>
    <w:rsid w:val="003324EA"/>
    <w:rsid w:val="00385E5D"/>
    <w:rsid w:val="00387470"/>
    <w:rsid w:val="003975BF"/>
    <w:rsid w:val="003A19C3"/>
    <w:rsid w:val="003A648E"/>
    <w:rsid w:val="003B1709"/>
    <w:rsid w:val="003B4E9C"/>
    <w:rsid w:val="003C613D"/>
    <w:rsid w:val="003D7ADF"/>
    <w:rsid w:val="003E3F04"/>
    <w:rsid w:val="003F4960"/>
    <w:rsid w:val="00407923"/>
    <w:rsid w:val="004100F4"/>
    <w:rsid w:val="0041730B"/>
    <w:rsid w:val="00432A2E"/>
    <w:rsid w:val="00434D5B"/>
    <w:rsid w:val="0044275D"/>
    <w:rsid w:val="00487E01"/>
    <w:rsid w:val="004A6BBB"/>
    <w:rsid w:val="004B0579"/>
    <w:rsid w:val="004C0DD4"/>
    <w:rsid w:val="004E73ED"/>
    <w:rsid w:val="0051457B"/>
    <w:rsid w:val="00524B9F"/>
    <w:rsid w:val="00542943"/>
    <w:rsid w:val="00546F66"/>
    <w:rsid w:val="00552EF0"/>
    <w:rsid w:val="0056341B"/>
    <w:rsid w:val="00575E2F"/>
    <w:rsid w:val="00582ED1"/>
    <w:rsid w:val="005A7F83"/>
    <w:rsid w:val="005B0585"/>
    <w:rsid w:val="005B6F57"/>
    <w:rsid w:val="005C024B"/>
    <w:rsid w:val="005D54B9"/>
    <w:rsid w:val="005D74B5"/>
    <w:rsid w:val="005E0E78"/>
    <w:rsid w:val="005F3AA5"/>
    <w:rsid w:val="00620A4F"/>
    <w:rsid w:val="00623A04"/>
    <w:rsid w:val="0062493D"/>
    <w:rsid w:val="00631880"/>
    <w:rsid w:val="0064500D"/>
    <w:rsid w:val="006466DE"/>
    <w:rsid w:val="00652920"/>
    <w:rsid w:val="00661A25"/>
    <w:rsid w:val="0066371E"/>
    <w:rsid w:val="00666CFE"/>
    <w:rsid w:val="00676A59"/>
    <w:rsid w:val="00680B69"/>
    <w:rsid w:val="006814B7"/>
    <w:rsid w:val="0068523F"/>
    <w:rsid w:val="00697254"/>
    <w:rsid w:val="006A5F94"/>
    <w:rsid w:val="006D0170"/>
    <w:rsid w:val="006D6753"/>
    <w:rsid w:val="006E499D"/>
    <w:rsid w:val="006F3A7F"/>
    <w:rsid w:val="006F7911"/>
    <w:rsid w:val="007066C5"/>
    <w:rsid w:val="0074001D"/>
    <w:rsid w:val="00750349"/>
    <w:rsid w:val="00753930"/>
    <w:rsid w:val="00757FB1"/>
    <w:rsid w:val="007852FC"/>
    <w:rsid w:val="00793D3B"/>
    <w:rsid w:val="00796FFF"/>
    <w:rsid w:val="007A5833"/>
    <w:rsid w:val="007B7E60"/>
    <w:rsid w:val="007C1B8A"/>
    <w:rsid w:val="007E7AA1"/>
    <w:rsid w:val="00802496"/>
    <w:rsid w:val="008060C5"/>
    <w:rsid w:val="00822AE8"/>
    <w:rsid w:val="00825DB4"/>
    <w:rsid w:val="00857757"/>
    <w:rsid w:val="008636BC"/>
    <w:rsid w:val="008727B4"/>
    <w:rsid w:val="00885692"/>
    <w:rsid w:val="00887A1B"/>
    <w:rsid w:val="008A0D3C"/>
    <w:rsid w:val="008A3A64"/>
    <w:rsid w:val="008C0C71"/>
    <w:rsid w:val="008C5569"/>
    <w:rsid w:val="00902141"/>
    <w:rsid w:val="0091063E"/>
    <w:rsid w:val="009111CC"/>
    <w:rsid w:val="0091352F"/>
    <w:rsid w:val="0092015B"/>
    <w:rsid w:val="009302B9"/>
    <w:rsid w:val="00931C56"/>
    <w:rsid w:val="0094761B"/>
    <w:rsid w:val="00957BBF"/>
    <w:rsid w:val="00967D69"/>
    <w:rsid w:val="00986C04"/>
    <w:rsid w:val="009A2A7C"/>
    <w:rsid w:val="009A79DF"/>
    <w:rsid w:val="009C6C34"/>
    <w:rsid w:val="009D2AA0"/>
    <w:rsid w:val="009D4660"/>
    <w:rsid w:val="009F30BE"/>
    <w:rsid w:val="00A24D6E"/>
    <w:rsid w:val="00A3003B"/>
    <w:rsid w:val="00A34849"/>
    <w:rsid w:val="00A703BC"/>
    <w:rsid w:val="00A7194B"/>
    <w:rsid w:val="00A915D2"/>
    <w:rsid w:val="00A93631"/>
    <w:rsid w:val="00A93CEB"/>
    <w:rsid w:val="00AA3D72"/>
    <w:rsid w:val="00AA44E0"/>
    <w:rsid w:val="00AA4F6D"/>
    <w:rsid w:val="00AA5F66"/>
    <w:rsid w:val="00AB1C8F"/>
    <w:rsid w:val="00AD6E9C"/>
    <w:rsid w:val="00AE11D3"/>
    <w:rsid w:val="00AE6A5A"/>
    <w:rsid w:val="00AE6DE4"/>
    <w:rsid w:val="00B05419"/>
    <w:rsid w:val="00B112EE"/>
    <w:rsid w:val="00B22DAC"/>
    <w:rsid w:val="00B27383"/>
    <w:rsid w:val="00B4347A"/>
    <w:rsid w:val="00B55FFD"/>
    <w:rsid w:val="00B7155A"/>
    <w:rsid w:val="00B759E5"/>
    <w:rsid w:val="00B81DBE"/>
    <w:rsid w:val="00BA0A8C"/>
    <w:rsid w:val="00BB5F00"/>
    <w:rsid w:val="00BB75AF"/>
    <w:rsid w:val="00BC7234"/>
    <w:rsid w:val="00BC7594"/>
    <w:rsid w:val="00BD2344"/>
    <w:rsid w:val="00BE3379"/>
    <w:rsid w:val="00C00220"/>
    <w:rsid w:val="00C13003"/>
    <w:rsid w:val="00C16231"/>
    <w:rsid w:val="00C20908"/>
    <w:rsid w:val="00C54BA0"/>
    <w:rsid w:val="00C73281"/>
    <w:rsid w:val="00C853F3"/>
    <w:rsid w:val="00C905A9"/>
    <w:rsid w:val="00CB7F32"/>
    <w:rsid w:val="00CC11D0"/>
    <w:rsid w:val="00CC2B63"/>
    <w:rsid w:val="00CE0A0A"/>
    <w:rsid w:val="00CE6508"/>
    <w:rsid w:val="00CF53BF"/>
    <w:rsid w:val="00D110B0"/>
    <w:rsid w:val="00D16A60"/>
    <w:rsid w:val="00D2748C"/>
    <w:rsid w:val="00D46939"/>
    <w:rsid w:val="00D5048E"/>
    <w:rsid w:val="00D51347"/>
    <w:rsid w:val="00D5637A"/>
    <w:rsid w:val="00D80A58"/>
    <w:rsid w:val="00D83F83"/>
    <w:rsid w:val="00D954E5"/>
    <w:rsid w:val="00D95B8A"/>
    <w:rsid w:val="00D95F52"/>
    <w:rsid w:val="00DA776E"/>
    <w:rsid w:val="00DA784D"/>
    <w:rsid w:val="00DC06C7"/>
    <w:rsid w:val="00DC2748"/>
    <w:rsid w:val="00DE020C"/>
    <w:rsid w:val="00DE4B78"/>
    <w:rsid w:val="00DE5051"/>
    <w:rsid w:val="00DE70A2"/>
    <w:rsid w:val="00E05513"/>
    <w:rsid w:val="00E06779"/>
    <w:rsid w:val="00E143C7"/>
    <w:rsid w:val="00E15B76"/>
    <w:rsid w:val="00E24997"/>
    <w:rsid w:val="00E309D4"/>
    <w:rsid w:val="00E40119"/>
    <w:rsid w:val="00E519B5"/>
    <w:rsid w:val="00E561C7"/>
    <w:rsid w:val="00E5729F"/>
    <w:rsid w:val="00E65FFA"/>
    <w:rsid w:val="00E82F48"/>
    <w:rsid w:val="00E96F35"/>
    <w:rsid w:val="00EA2D67"/>
    <w:rsid w:val="00EE2EAF"/>
    <w:rsid w:val="00EE4798"/>
    <w:rsid w:val="00EE570F"/>
    <w:rsid w:val="00F047E7"/>
    <w:rsid w:val="00F31713"/>
    <w:rsid w:val="00F50389"/>
    <w:rsid w:val="00F5393A"/>
    <w:rsid w:val="00F658B4"/>
    <w:rsid w:val="00F765B1"/>
    <w:rsid w:val="00F85AF8"/>
    <w:rsid w:val="00F85CAF"/>
    <w:rsid w:val="00F91793"/>
    <w:rsid w:val="00F948F6"/>
    <w:rsid w:val="00FD15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4C5DB"/>
  <w15:chartTrackingRefBased/>
  <w15:docId w15:val="{1F367727-C910-44D7-8B18-EFA251E6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page number"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lang w:val="en-US" w:eastAsia="en-US" w:bidi="he-IL"/>
    </w:rPr>
  </w:style>
  <w:style w:type="paragraph" w:styleId="Heading2">
    <w:name w:val="heading 2"/>
    <w:basedOn w:val="Normal"/>
    <w:next w:val="Normal"/>
    <w:qFormat/>
    <w:rsid w:val="00C54BA0"/>
    <w:pPr>
      <w:keepNext/>
      <w:tabs>
        <w:tab w:val="left" w:pos="720"/>
        <w:tab w:val="left" w:pos="6660"/>
      </w:tabs>
      <w:bidi w:val="0"/>
      <w:spacing w:line="360" w:lineRule="auto"/>
      <w:outlineLvl w:val="1"/>
    </w:pPr>
    <w:rPr>
      <w:rFonts w:eastAsia="Arial Unicode MS"/>
      <w:b/>
    </w:rPr>
  </w:style>
  <w:style w:type="paragraph" w:styleId="Heading7">
    <w:name w:val="heading 7"/>
    <w:basedOn w:val="Normal"/>
    <w:next w:val="Normal"/>
    <w:qFormat/>
    <w:rsid w:val="00C54BA0"/>
    <w:pPr>
      <w:keepNext/>
      <w:tabs>
        <w:tab w:val="left" w:pos="3225"/>
        <w:tab w:val="left" w:pos="6660"/>
      </w:tabs>
      <w:bidi w:val="0"/>
      <w:spacing w:line="480" w:lineRule="auto"/>
      <w:ind w:left="360"/>
      <w:outlineLvl w:val="6"/>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TSubTitle">
    <w:name w:val="FT SubTitle"/>
    <w:basedOn w:val="Normal"/>
    <w:rsid w:val="003A19C3"/>
    <w:pPr>
      <w:bidi w:val="0"/>
      <w:spacing w:after="120" w:line="360" w:lineRule="auto"/>
      <w:jc w:val="center"/>
    </w:pPr>
    <w:rPr>
      <w:rFonts w:cs="Narkisim"/>
      <w:b/>
      <w:sz w:val="26"/>
      <w:szCs w:val="26"/>
      <w:lang w:eastAsia="he-IL"/>
    </w:rPr>
  </w:style>
  <w:style w:type="character" w:styleId="Hyperlink">
    <w:name w:val="Hyperlink"/>
    <w:rsid w:val="003A19C3"/>
    <w:rPr>
      <w:color w:val="0000FF"/>
      <w:u w:val="single"/>
    </w:rPr>
  </w:style>
  <w:style w:type="paragraph" w:styleId="NormalWeb">
    <w:name w:val="Normal (Web)"/>
    <w:basedOn w:val="Normal"/>
    <w:rsid w:val="001F6CEC"/>
    <w:pPr>
      <w:bidi w:val="0"/>
      <w:spacing w:before="100" w:beforeAutospacing="1" w:after="100" w:afterAutospacing="1" w:line="360" w:lineRule="auto"/>
    </w:pPr>
    <w:rPr>
      <w:color w:val="000000"/>
    </w:rPr>
  </w:style>
  <w:style w:type="paragraph" w:styleId="BodyText2">
    <w:name w:val="Body Text 2"/>
    <w:basedOn w:val="Normal"/>
    <w:rsid w:val="008636BC"/>
    <w:pPr>
      <w:spacing w:after="120" w:line="480" w:lineRule="auto"/>
    </w:pPr>
    <w:rPr>
      <w:rFonts w:cs="Miriam"/>
      <w:sz w:val="20"/>
      <w:szCs w:val="20"/>
      <w:lang w:bidi="ar-SA"/>
    </w:rPr>
  </w:style>
  <w:style w:type="character" w:styleId="Strong">
    <w:name w:val="Strong"/>
    <w:qFormat/>
    <w:rsid w:val="00887A1B"/>
    <w:rPr>
      <w:b/>
      <w:bCs/>
    </w:rPr>
  </w:style>
  <w:style w:type="character" w:customStyle="1" w:styleId="spelle">
    <w:name w:val="spelle"/>
    <w:basedOn w:val="DefaultParagraphFont"/>
    <w:rsid w:val="009F30BE"/>
  </w:style>
  <w:style w:type="table" w:styleId="TableGrid">
    <w:name w:val="Table Grid"/>
    <w:basedOn w:val="TableNormal"/>
    <w:uiPriority w:val="59"/>
    <w:rsid w:val="00C73281"/>
    <w:pPr>
      <w:bidi/>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F31713"/>
    <w:pPr>
      <w:shd w:val="clear" w:color="auto" w:fill="000080"/>
    </w:pPr>
    <w:rPr>
      <w:rFonts w:ascii="Tahoma" w:hAnsi="Tahoma" w:cs="Tahoma"/>
      <w:sz w:val="20"/>
      <w:szCs w:val="20"/>
    </w:rPr>
  </w:style>
  <w:style w:type="paragraph" w:styleId="Footer">
    <w:name w:val="footer"/>
    <w:basedOn w:val="Normal"/>
    <w:rsid w:val="00266106"/>
    <w:pPr>
      <w:tabs>
        <w:tab w:val="center" w:pos="4153"/>
        <w:tab w:val="right" w:pos="8306"/>
      </w:tabs>
    </w:pPr>
  </w:style>
  <w:style w:type="character" w:styleId="PageNumber">
    <w:name w:val="page number"/>
    <w:basedOn w:val="DefaultParagraphFont"/>
    <w:uiPriority w:val="99"/>
    <w:rsid w:val="00266106"/>
  </w:style>
  <w:style w:type="paragraph" w:styleId="Header">
    <w:name w:val="header"/>
    <w:basedOn w:val="Normal"/>
    <w:link w:val="HeaderChar"/>
    <w:rsid w:val="003975BF"/>
    <w:pPr>
      <w:tabs>
        <w:tab w:val="center" w:pos="4320"/>
        <w:tab w:val="right" w:pos="8640"/>
      </w:tabs>
    </w:pPr>
  </w:style>
  <w:style w:type="character" w:customStyle="1" w:styleId="HeaderChar">
    <w:name w:val="Header Char"/>
    <w:link w:val="Header"/>
    <w:rsid w:val="003975BF"/>
    <w:rPr>
      <w:sz w:val="24"/>
      <w:szCs w:val="24"/>
    </w:rPr>
  </w:style>
  <w:style w:type="character" w:customStyle="1" w:styleId="source5">
    <w:name w:val="source5"/>
    <w:rsid w:val="009D2AA0"/>
    <w:rPr>
      <w:color w:val="333333"/>
      <w:vertAlign w:val="baseline"/>
    </w:rPr>
  </w:style>
  <w:style w:type="character" w:customStyle="1" w:styleId="normaltextrun1">
    <w:name w:val="normaltextrun1"/>
    <w:rsid w:val="002E0FE2"/>
  </w:style>
  <w:style w:type="character" w:customStyle="1" w:styleId="grame">
    <w:name w:val="grame"/>
    <w:rsid w:val="00E5729F"/>
  </w:style>
  <w:style w:type="table" w:customStyle="1" w:styleId="1">
    <w:name w:val="רשת טבלה1"/>
    <w:basedOn w:val="TableNormal"/>
    <w:next w:val="TableGrid"/>
    <w:uiPriority w:val="39"/>
    <w:rsid w:val="00D5134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6FFF"/>
    <w:rPr>
      <w:rFonts w:ascii="Calibri" w:eastAsia="Calibri" w:hAnsi="Calibri" w:cs="Arial"/>
      <w:sz w:val="22"/>
      <w:szCs w:val="22"/>
      <w:lang w:val="en-US"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99568">
      <w:bodyDiv w:val="1"/>
      <w:marLeft w:val="0"/>
      <w:marRight w:val="0"/>
      <w:marTop w:val="0"/>
      <w:marBottom w:val="0"/>
      <w:divBdr>
        <w:top w:val="none" w:sz="0" w:space="0" w:color="auto"/>
        <w:left w:val="none" w:sz="0" w:space="0" w:color="auto"/>
        <w:bottom w:val="none" w:sz="0" w:space="0" w:color="auto"/>
        <w:right w:val="none" w:sz="0" w:space="0" w:color="auto"/>
      </w:divBdr>
      <w:divsChild>
        <w:div w:id="2054115555">
          <w:marLeft w:val="0"/>
          <w:marRight w:val="0"/>
          <w:marTop w:val="0"/>
          <w:marBottom w:val="0"/>
          <w:divBdr>
            <w:top w:val="none" w:sz="0" w:space="0" w:color="auto"/>
            <w:left w:val="none" w:sz="0" w:space="0" w:color="auto"/>
            <w:bottom w:val="none" w:sz="0" w:space="0" w:color="auto"/>
            <w:right w:val="none" w:sz="0" w:space="0" w:color="auto"/>
          </w:divBdr>
          <w:divsChild>
            <w:div w:id="1856192586">
              <w:marLeft w:val="0"/>
              <w:marRight w:val="0"/>
              <w:marTop w:val="0"/>
              <w:marBottom w:val="0"/>
              <w:divBdr>
                <w:top w:val="none" w:sz="0" w:space="0" w:color="auto"/>
                <w:left w:val="none" w:sz="0" w:space="0" w:color="auto"/>
                <w:bottom w:val="none" w:sz="0" w:space="0" w:color="auto"/>
                <w:right w:val="none" w:sz="0" w:space="0" w:color="auto"/>
              </w:divBdr>
              <w:divsChild>
                <w:div w:id="161313126">
                  <w:marLeft w:val="0"/>
                  <w:marRight w:val="0"/>
                  <w:marTop w:val="0"/>
                  <w:marBottom w:val="0"/>
                  <w:divBdr>
                    <w:top w:val="none" w:sz="0" w:space="0" w:color="auto"/>
                    <w:left w:val="none" w:sz="0" w:space="0" w:color="auto"/>
                    <w:bottom w:val="none" w:sz="0" w:space="0" w:color="auto"/>
                    <w:right w:val="none" w:sz="0" w:space="0" w:color="auto"/>
                  </w:divBdr>
                  <w:divsChild>
                    <w:div w:id="1732117688">
                      <w:marLeft w:val="0"/>
                      <w:marRight w:val="0"/>
                      <w:marTop w:val="0"/>
                      <w:marBottom w:val="0"/>
                      <w:divBdr>
                        <w:top w:val="none" w:sz="0" w:space="0" w:color="auto"/>
                        <w:left w:val="none" w:sz="0" w:space="0" w:color="auto"/>
                        <w:bottom w:val="none" w:sz="0" w:space="0" w:color="auto"/>
                        <w:right w:val="none" w:sz="0" w:space="0" w:color="auto"/>
                      </w:divBdr>
                      <w:divsChild>
                        <w:div w:id="7951569">
                          <w:marLeft w:val="0"/>
                          <w:marRight w:val="0"/>
                          <w:marTop w:val="0"/>
                          <w:marBottom w:val="0"/>
                          <w:divBdr>
                            <w:top w:val="none" w:sz="0" w:space="0" w:color="auto"/>
                            <w:left w:val="none" w:sz="0" w:space="0" w:color="auto"/>
                            <w:bottom w:val="none" w:sz="0" w:space="0" w:color="auto"/>
                            <w:right w:val="none" w:sz="0" w:space="0" w:color="auto"/>
                          </w:divBdr>
                          <w:divsChild>
                            <w:div w:id="1590118992">
                              <w:marLeft w:val="0"/>
                              <w:marRight w:val="0"/>
                              <w:marTop w:val="0"/>
                              <w:marBottom w:val="0"/>
                              <w:divBdr>
                                <w:top w:val="none" w:sz="0" w:space="0" w:color="auto"/>
                                <w:left w:val="none" w:sz="0" w:space="0" w:color="auto"/>
                                <w:bottom w:val="none" w:sz="0" w:space="0" w:color="auto"/>
                                <w:right w:val="none" w:sz="0" w:space="0" w:color="auto"/>
                              </w:divBdr>
                              <w:divsChild>
                                <w:div w:id="711731128">
                                  <w:marLeft w:val="0"/>
                                  <w:marRight w:val="0"/>
                                  <w:marTop w:val="0"/>
                                  <w:marBottom w:val="0"/>
                                  <w:divBdr>
                                    <w:top w:val="none" w:sz="0" w:space="0" w:color="auto"/>
                                    <w:left w:val="none" w:sz="0" w:space="0" w:color="auto"/>
                                    <w:bottom w:val="none" w:sz="0" w:space="0" w:color="auto"/>
                                    <w:right w:val="none" w:sz="0" w:space="0" w:color="auto"/>
                                  </w:divBdr>
                                  <w:divsChild>
                                    <w:div w:id="11380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7536085">
      <w:bodyDiv w:val="1"/>
      <w:marLeft w:val="0"/>
      <w:marRight w:val="0"/>
      <w:marTop w:val="0"/>
      <w:marBottom w:val="0"/>
      <w:divBdr>
        <w:top w:val="none" w:sz="0" w:space="0" w:color="auto"/>
        <w:left w:val="none" w:sz="0" w:space="0" w:color="auto"/>
        <w:bottom w:val="none" w:sz="0" w:space="0" w:color="auto"/>
        <w:right w:val="none" w:sz="0" w:space="0" w:color="auto"/>
      </w:divBdr>
    </w:div>
    <w:div w:id="748815322">
      <w:bodyDiv w:val="1"/>
      <w:marLeft w:val="0"/>
      <w:marRight w:val="0"/>
      <w:marTop w:val="0"/>
      <w:marBottom w:val="0"/>
      <w:divBdr>
        <w:top w:val="none" w:sz="0" w:space="0" w:color="auto"/>
        <w:left w:val="none" w:sz="0" w:space="0" w:color="auto"/>
        <w:bottom w:val="none" w:sz="0" w:space="0" w:color="auto"/>
        <w:right w:val="none" w:sz="0" w:space="0" w:color="auto"/>
      </w:divBdr>
      <w:divsChild>
        <w:div w:id="2059739480">
          <w:marLeft w:val="0"/>
          <w:marRight w:val="0"/>
          <w:marTop w:val="0"/>
          <w:marBottom w:val="0"/>
          <w:divBdr>
            <w:top w:val="none" w:sz="0" w:space="0" w:color="auto"/>
            <w:left w:val="none" w:sz="0" w:space="0" w:color="auto"/>
            <w:bottom w:val="none" w:sz="0" w:space="0" w:color="auto"/>
            <w:right w:val="none" w:sz="0" w:space="0" w:color="auto"/>
          </w:divBdr>
          <w:divsChild>
            <w:div w:id="436877779">
              <w:marLeft w:val="0"/>
              <w:marRight w:val="0"/>
              <w:marTop w:val="0"/>
              <w:marBottom w:val="0"/>
              <w:divBdr>
                <w:top w:val="none" w:sz="0" w:space="0" w:color="auto"/>
                <w:left w:val="none" w:sz="0" w:space="0" w:color="auto"/>
                <w:bottom w:val="none" w:sz="0" w:space="0" w:color="auto"/>
                <w:right w:val="none" w:sz="0" w:space="0" w:color="auto"/>
              </w:divBdr>
              <w:divsChild>
                <w:div w:id="680164261">
                  <w:marLeft w:val="0"/>
                  <w:marRight w:val="0"/>
                  <w:marTop w:val="0"/>
                  <w:marBottom w:val="0"/>
                  <w:divBdr>
                    <w:top w:val="none" w:sz="0" w:space="0" w:color="auto"/>
                    <w:left w:val="none" w:sz="0" w:space="0" w:color="auto"/>
                    <w:bottom w:val="none" w:sz="0" w:space="0" w:color="auto"/>
                    <w:right w:val="none" w:sz="0" w:space="0" w:color="auto"/>
                  </w:divBdr>
                  <w:divsChild>
                    <w:div w:id="2009359121">
                      <w:marLeft w:val="0"/>
                      <w:marRight w:val="0"/>
                      <w:marTop w:val="0"/>
                      <w:marBottom w:val="0"/>
                      <w:divBdr>
                        <w:top w:val="none" w:sz="0" w:space="0" w:color="auto"/>
                        <w:left w:val="none" w:sz="0" w:space="0" w:color="auto"/>
                        <w:bottom w:val="none" w:sz="0" w:space="0" w:color="auto"/>
                        <w:right w:val="none" w:sz="0" w:space="0" w:color="auto"/>
                      </w:divBdr>
                      <w:divsChild>
                        <w:div w:id="2128347216">
                          <w:marLeft w:val="0"/>
                          <w:marRight w:val="0"/>
                          <w:marTop w:val="0"/>
                          <w:marBottom w:val="0"/>
                          <w:divBdr>
                            <w:top w:val="none" w:sz="0" w:space="0" w:color="auto"/>
                            <w:left w:val="none" w:sz="0" w:space="0" w:color="auto"/>
                            <w:bottom w:val="none" w:sz="0" w:space="0" w:color="auto"/>
                            <w:right w:val="none" w:sz="0" w:space="0" w:color="auto"/>
                          </w:divBdr>
                          <w:divsChild>
                            <w:div w:id="481778325">
                              <w:marLeft w:val="0"/>
                              <w:marRight w:val="0"/>
                              <w:marTop w:val="0"/>
                              <w:marBottom w:val="0"/>
                              <w:divBdr>
                                <w:top w:val="none" w:sz="0" w:space="0" w:color="auto"/>
                                <w:left w:val="none" w:sz="0" w:space="0" w:color="auto"/>
                                <w:bottom w:val="none" w:sz="0" w:space="0" w:color="auto"/>
                                <w:right w:val="none" w:sz="0" w:space="0" w:color="auto"/>
                              </w:divBdr>
                              <w:divsChild>
                                <w:div w:id="1871450851">
                                  <w:marLeft w:val="0"/>
                                  <w:marRight w:val="0"/>
                                  <w:marTop w:val="0"/>
                                  <w:marBottom w:val="0"/>
                                  <w:divBdr>
                                    <w:top w:val="none" w:sz="0" w:space="0" w:color="auto"/>
                                    <w:left w:val="none" w:sz="0" w:space="0" w:color="auto"/>
                                    <w:bottom w:val="none" w:sz="0" w:space="0" w:color="auto"/>
                                    <w:right w:val="none" w:sz="0" w:space="0" w:color="auto"/>
                                  </w:divBdr>
                                  <w:divsChild>
                                    <w:div w:id="153032308">
                                      <w:marLeft w:val="0"/>
                                      <w:marRight w:val="0"/>
                                      <w:marTop w:val="0"/>
                                      <w:marBottom w:val="0"/>
                                      <w:divBdr>
                                        <w:top w:val="none" w:sz="0" w:space="0" w:color="auto"/>
                                        <w:left w:val="none" w:sz="0" w:space="0" w:color="auto"/>
                                        <w:bottom w:val="none" w:sz="0" w:space="0" w:color="auto"/>
                                        <w:right w:val="none" w:sz="0" w:space="0" w:color="auto"/>
                                      </w:divBdr>
                                      <w:divsChild>
                                        <w:div w:id="2119836708">
                                          <w:marLeft w:val="0"/>
                                          <w:marRight w:val="0"/>
                                          <w:marTop w:val="0"/>
                                          <w:marBottom w:val="0"/>
                                          <w:divBdr>
                                            <w:top w:val="none" w:sz="0" w:space="0" w:color="auto"/>
                                            <w:left w:val="none" w:sz="0" w:space="0" w:color="auto"/>
                                            <w:bottom w:val="none" w:sz="0" w:space="0" w:color="auto"/>
                                            <w:right w:val="none" w:sz="0" w:space="0" w:color="auto"/>
                                          </w:divBdr>
                                        </w:div>
                                      </w:divsChild>
                                    </w:div>
                                    <w:div w:id="166752214">
                                      <w:marLeft w:val="0"/>
                                      <w:marRight w:val="0"/>
                                      <w:marTop w:val="0"/>
                                      <w:marBottom w:val="0"/>
                                      <w:divBdr>
                                        <w:top w:val="none" w:sz="0" w:space="0" w:color="auto"/>
                                        <w:left w:val="none" w:sz="0" w:space="0" w:color="auto"/>
                                        <w:bottom w:val="none" w:sz="0" w:space="0" w:color="auto"/>
                                        <w:right w:val="none" w:sz="0" w:space="0" w:color="auto"/>
                                      </w:divBdr>
                                      <w:divsChild>
                                        <w:div w:id="61293062">
                                          <w:marLeft w:val="0"/>
                                          <w:marRight w:val="0"/>
                                          <w:marTop w:val="0"/>
                                          <w:marBottom w:val="120"/>
                                          <w:divBdr>
                                            <w:top w:val="none" w:sz="0" w:space="0" w:color="auto"/>
                                            <w:left w:val="none" w:sz="0" w:space="0" w:color="auto"/>
                                            <w:bottom w:val="none" w:sz="0" w:space="0" w:color="auto"/>
                                            <w:right w:val="none" w:sz="0" w:space="0" w:color="auto"/>
                                          </w:divBdr>
                                          <w:divsChild>
                                            <w:div w:id="692267948">
                                              <w:marLeft w:val="0"/>
                                              <w:marRight w:val="0"/>
                                              <w:marTop w:val="0"/>
                                              <w:marBottom w:val="0"/>
                                              <w:divBdr>
                                                <w:top w:val="none" w:sz="0" w:space="0" w:color="auto"/>
                                                <w:left w:val="none" w:sz="0" w:space="0" w:color="auto"/>
                                                <w:bottom w:val="none" w:sz="0" w:space="0" w:color="auto"/>
                                                <w:right w:val="none" w:sz="0" w:space="0" w:color="auto"/>
                                              </w:divBdr>
                                            </w:div>
                                          </w:divsChild>
                                        </w:div>
                                        <w:div w:id="1890417579">
                                          <w:marLeft w:val="0"/>
                                          <w:marRight w:val="0"/>
                                          <w:marTop w:val="0"/>
                                          <w:marBottom w:val="0"/>
                                          <w:divBdr>
                                            <w:top w:val="none" w:sz="0" w:space="0" w:color="auto"/>
                                            <w:left w:val="none" w:sz="0" w:space="0" w:color="auto"/>
                                            <w:bottom w:val="none" w:sz="0" w:space="0" w:color="auto"/>
                                            <w:right w:val="none" w:sz="0" w:space="0" w:color="auto"/>
                                          </w:divBdr>
                                        </w:div>
                                      </w:divsChild>
                                    </w:div>
                                    <w:div w:id="1416710495">
                                      <w:marLeft w:val="0"/>
                                      <w:marRight w:val="0"/>
                                      <w:marTop w:val="0"/>
                                      <w:marBottom w:val="0"/>
                                      <w:divBdr>
                                        <w:top w:val="none" w:sz="0" w:space="0" w:color="auto"/>
                                        <w:left w:val="none" w:sz="0" w:space="0" w:color="auto"/>
                                        <w:bottom w:val="none" w:sz="0" w:space="0" w:color="auto"/>
                                        <w:right w:val="none" w:sz="0" w:space="0" w:color="auto"/>
                                      </w:divBdr>
                                      <w:divsChild>
                                        <w:div w:id="1155561022">
                                          <w:marLeft w:val="0"/>
                                          <w:marRight w:val="0"/>
                                          <w:marTop w:val="0"/>
                                          <w:marBottom w:val="0"/>
                                          <w:divBdr>
                                            <w:top w:val="none" w:sz="0" w:space="0" w:color="auto"/>
                                            <w:left w:val="none" w:sz="0" w:space="0" w:color="auto"/>
                                            <w:bottom w:val="none" w:sz="0" w:space="0" w:color="auto"/>
                                            <w:right w:val="none" w:sz="0" w:space="0" w:color="auto"/>
                                          </w:divBdr>
                                        </w:div>
                                      </w:divsChild>
                                    </w:div>
                                    <w:div w:id="1459684383">
                                      <w:marLeft w:val="0"/>
                                      <w:marRight w:val="0"/>
                                      <w:marTop w:val="0"/>
                                      <w:marBottom w:val="0"/>
                                      <w:divBdr>
                                        <w:top w:val="none" w:sz="0" w:space="0" w:color="auto"/>
                                        <w:left w:val="none" w:sz="0" w:space="0" w:color="auto"/>
                                        <w:bottom w:val="none" w:sz="0" w:space="0" w:color="auto"/>
                                        <w:right w:val="none" w:sz="0" w:space="0" w:color="auto"/>
                                      </w:divBdr>
                                      <w:divsChild>
                                        <w:div w:id="12947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4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829852">
      <w:bodyDiv w:val="1"/>
      <w:marLeft w:val="0"/>
      <w:marRight w:val="0"/>
      <w:marTop w:val="0"/>
      <w:marBottom w:val="0"/>
      <w:divBdr>
        <w:top w:val="none" w:sz="0" w:space="0" w:color="auto"/>
        <w:left w:val="none" w:sz="0" w:space="0" w:color="auto"/>
        <w:bottom w:val="none" w:sz="0" w:space="0" w:color="auto"/>
        <w:right w:val="none" w:sz="0" w:space="0" w:color="auto"/>
      </w:divBdr>
      <w:divsChild>
        <w:div w:id="971407153">
          <w:marLeft w:val="0"/>
          <w:marRight w:val="0"/>
          <w:marTop w:val="0"/>
          <w:marBottom w:val="0"/>
          <w:divBdr>
            <w:top w:val="none" w:sz="0" w:space="0" w:color="auto"/>
            <w:left w:val="none" w:sz="0" w:space="0" w:color="auto"/>
            <w:bottom w:val="none" w:sz="0" w:space="0" w:color="auto"/>
            <w:right w:val="none" w:sz="0" w:space="0" w:color="auto"/>
          </w:divBdr>
          <w:divsChild>
            <w:div w:id="930434542">
              <w:marLeft w:val="0"/>
              <w:marRight w:val="0"/>
              <w:marTop w:val="0"/>
              <w:marBottom w:val="0"/>
              <w:divBdr>
                <w:top w:val="none" w:sz="0" w:space="0" w:color="auto"/>
                <w:left w:val="none" w:sz="0" w:space="0" w:color="auto"/>
                <w:bottom w:val="none" w:sz="0" w:space="0" w:color="auto"/>
                <w:right w:val="none" w:sz="0" w:space="0" w:color="auto"/>
              </w:divBdr>
              <w:divsChild>
                <w:div w:id="1818721790">
                  <w:marLeft w:val="0"/>
                  <w:marRight w:val="0"/>
                  <w:marTop w:val="0"/>
                  <w:marBottom w:val="0"/>
                  <w:divBdr>
                    <w:top w:val="none" w:sz="0" w:space="0" w:color="auto"/>
                    <w:left w:val="none" w:sz="0" w:space="0" w:color="auto"/>
                    <w:bottom w:val="none" w:sz="0" w:space="0" w:color="auto"/>
                    <w:right w:val="none" w:sz="0" w:space="0" w:color="auto"/>
                  </w:divBdr>
                  <w:divsChild>
                    <w:div w:id="977758792">
                      <w:marLeft w:val="0"/>
                      <w:marRight w:val="0"/>
                      <w:marTop w:val="0"/>
                      <w:marBottom w:val="0"/>
                      <w:divBdr>
                        <w:top w:val="none" w:sz="0" w:space="0" w:color="auto"/>
                        <w:left w:val="none" w:sz="0" w:space="0" w:color="auto"/>
                        <w:bottom w:val="none" w:sz="0" w:space="0" w:color="auto"/>
                        <w:right w:val="none" w:sz="0" w:space="0" w:color="auto"/>
                      </w:divBdr>
                      <w:divsChild>
                        <w:div w:id="945889350">
                          <w:marLeft w:val="0"/>
                          <w:marRight w:val="0"/>
                          <w:marTop w:val="0"/>
                          <w:marBottom w:val="0"/>
                          <w:divBdr>
                            <w:top w:val="none" w:sz="0" w:space="0" w:color="auto"/>
                            <w:left w:val="none" w:sz="0" w:space="0" w:color="auto"/>
                            <w:bottom w:val="none" w:sz="0" w:space="0" w:color="auto"/>
                            <w:right w:val="none" w:sz="0" w:space="0" w:color="auto"/>
                          </w:divBdr>
                          <w:divsChild>
                            <w:div w:id="1613971445">
                              <w:marLeft w:val="0"/>
                              <w:marRight w:val="0"/>
                              <w:marTop w:val="0"/>
                              <w:marBottom w:val="0"/>
                              <w:divBdr>
                                <w:top w:val="none" w:sz="0" w:space="0" w:color="auto"/>
                                <w:left w:val="none" w:sz="0" w:space="0" w:color="auto"/>
                                <w:bottom w:val="none" w:sz="0" w:space="0" w:color="auto"/>
                                <w:right w:val="none" w:sz="0" w:space="0" w:color="auto"/>
                              </w:divBdr>
                              <w:divsChild>
                                <w:div w:id="843322495">
                                  <w:marLeft w:val="0"/>
                                  <w:marRight w:val="0"/>
                                  <w:marTop w:val="0"/>
                                  <w:marBottom w:val="0"/>
                                  <w:divBdr>
                                    <w:top w:val="none" w:sz="0" w:space="0" w:color="auto"/>
                                    <w:left w:val="none" w:sz="0" w:space="0" w:color="auto"/>
                                    <w:bottom w:val="none" w:sz="0" w:space="0" w:color="auto"/>
                                    <w:right w:val="none" w:sz="0" w:space="0" w:color="auto"/>
                                  </w:divBdr>
                                  <w:divsChild>
                                    <w:div w:id="93451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5332332">
      <w:bodyDiv w:val="1"/>
      <w:marLeft w:val="0"/>
      <w:marRight w:val="0"/>
      <w:marTop w:val="0"/>
      <w:marBottom w:val="0"/>
      <w:divBdr>
        <w:top w:val="none" w:sz="0" w:space="0" w:color="auto"/>
        <w:left w:val="none" w:sz="0" w:space="0" w:color="auto"/>
        <w:bottom w:val="none" w:sz="0" w:space="0" w:color="auto"/>
        <w:right w:val="none" w:sz="0" w:space="0" w:color="auto"/>
      </w:divBdr>
      <w:divsChild>
        <w:div w:id="589781690">
          <w:marLeft w:val="120"/>
          <w:marRight w:val="75"/>
          <w:marTop w:val="0"/>
          <w:marBottom w:val="0"/>
          <w:divBdr>
            <w:top w:val="none" w:sz="0" w:space="0" w:color="auto"/>
            <w:left w:val="none" w:sz="0" w:space="0" w:color="auto"/>
            <w:bottom w:val="none" w:sz="0" w:space="0" w:color="auto"/>
            <w:right w:val="none" w:sz="0" w:space="0" w:color="auto"/>
          </w:divBdr>
          <w:divsChild>
            <w:div w:id="559636951">
              <w:marLeft w:val="0"/>
              <w:marRight w:val="0"/>
              <w:marTop w:val="0"/>
              <w:marBottom w:val="0"/>
              <w:divBdr>
                <w:top w:val="none" w:sz="0" w:space="0" w:color="auto"/>
                <w:left w:val="none" w:sz="0" w:space="0" w:color="auto"/>
                <w:bottom w:val="none" w:sz="0" w:space="0" w:color="auto"/>
                <w:right w:val="none" w:sz="0" w:space="0" w:color="auto"/>
              </w:divBdr>
              <w:divsChild>
                <w:div w:id="2515806">
                  <w:marLeft w:val="0"/>
                  <w:marRight w:val="0"/>
                  <w:marTop w:val="0"/>
                  <w:marBottom w:val="0"/>
                  <w:divBdr>
                    <w:top w:val="none" w:sz="0" w:space="0" w:color="auto"/>
                    <w:left w:val="none" w:sz="0" w:space="0" w:color="auto"/>
                    <w:bottom w:val="none" w:sz="0" w:space="0" w:color="auto"/>
                    <w:right w:val="none" w:sz="0" w:space="0" w:color="auto"/>
                  </w:divBdr>
                  <w:divsChild>
                    <w:div w:id="15320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190421">
      <w:bodyDiv w:val="1"/>
      <w:marLeft w:val="0"/>
      <w:marRight w:val="0"/>
      <w:marTop w:val="0"/>
      <w:marBottom w:val="0"/>
      <w:divBdr>
        <w:top w:val="none" w:sz="0" w:space="0" w:color="auto"/>
        <w:left w:val="none" w:sz="0" w:space="0" w:color="auto"/>
        <w:bottom w:val="none" w:sz="0" w:space="0" w:color="auto"/>
        <w:right w:val="none" w:sz="0" w:space="0" w:color="auto"/>
      </w:divBdr>
      <w:divsChild>
        <w:div w:id="178862469">
          <w:marLeft w:val="0"/>
          <w:marRight w:val="0"/>
          <w:marTop w:val="0"/>
          <w:marBottom w:val="0"/>
          <w:divBdr>
            <w:top w:val="none" w:sz="0" w:space="0" w:color="auto"/>
            <w:left w:val="none" w:sz="0" w:space="0" w:color="auto"/>
            <w:bottom w:val="none" w:sz="0" w:space="0" w:color="auto"/>
            <w:right w:val="none" w:sz="0" w:space="0" w:color="auto"/>
          </w:divBdr>
          <w:divsChild>
            <w:div w:id="1972705469">
              <w:marLeft w:val="0"/>
              <w:marRight w:val="0"/>
              <w:marTop w:val="0"/>
              <w:marBottom w:val="0"/>
              <w:divBdr>
                <w:top w:val="none" w:sz="0" w:space="0" w:color="auto"/>
                <w:left w:val="none" w:sz="0" w:space="0" w:color="auto"/>
                <w:bottom w:val="none" w:sz="0" w:space="0" w:color="auto"/>
                <w:right w:val="none" w:sz="0" w:space="0" w:color="auto"/>
              </w:divBdr>
              <w:divsChild>
                <w:div w:id="573274037">
                  <w:marLeft w:val="0"/>
                  <w:marRight w:val="0"/>
                  <w:marTop w:val="0"/>
                  <w:marBottom w:val="0"/>
                  <w:divBdr>
                    <w:top w:val="none" w:sz="0" w:space="0" w:color="auto"/>
                    <w:left w:val="none" w:sz="0" w:space="0" w:color="auto"/>
                    <w:bottom w:val="none" w:sz="0" w:space="0" w:color="auto"/>
                    <w:right w:val="none" w:sz="0" w:space="0" w:color="auto"/>
                  </w:divBdr>
                  <w:divsChild>
                    <w:div w:id="1914926553">
                      <w:marLeft w:val="0"/>
                      <w:marRight w:val="0"/>
                      <w:marTop w:val="0"/>
                      <w:marBottom w:val="0"/>
                      <w:divBdr>
                        <w:top w:val="none" w:sz="0" w:space="0" w:color="auto"/>
                        <w:left w:val="none" w:sz="0" w:space="0" w:color="auto"/>
                        <w:bottom w:val="none" w:sz="0" w:space="0" w:color="auto"/>
                        <w:right w:val="none" w:sz="0" w:space="0" w:color="auto"/>
                      </w:divBdr>
                      <w:divsChild>
                        <w:div w:id="984311758">
                          <w:marLeft w:val="0"/>
                          <w:marRight w:val="0"/>
                          <w:marTop w:val="0"/>
                          <w:marBottom w:val="0"/>
                          <w:divBdr>
                            <w:top w:val="none" w:sz="0" w:space="0" w:color="auto"/>
                            <w:left w:val="none" w:sz="0" w:space="0" w:color="auto"/>
                            <w:bottom w:val="none" w:sz="0" w:space="0" w:color="auto"/>
                            <w:right w:val="none" w:sz="0" w:space="0" w:color="auto"/>
                          </w:divBdr>
                          <w:divsChild>
                            <w:div w:id="1239751720">
                              <w:marLeft w:val="0"/>
                              <w:marRight w:val="0"/>
                              <w:marTop w:val="0"/>
                              <w:marBottom w:val="0"/>
                              <w:divBdr>
                                <w:top w:val="none" w:sz="0" w:space="0" w:color="auto"/>
                                <w:left w:val="none" w:sz="0" w:space="0" w:color="auto"/>
                                <w:bottom w:val="none" w:sz="0" w:space="0" w:color="auto"/>
                                <w:right w:val="none" w:sz="0" w:space="0" w:color="auto"/>
                              </w:divBdr>
                            </w:div>
                            <w:div w:id="1672178244">
                              <w:marLeft w:val="0"/>
                              <w:marRight w:val="0"/>
                              <w:marTop w:val="0"/>
                              <w:marBottom w:val="0"/>
                              <w:divBdr>
                                <w:top w:val="none" w:sz="0" w:space="0" w:color="auto"/>
                                <w:left w:val="none" w:sz="0" w:space="0" w:color="auto"/>
                                <w:bottom w:val="none" w:sz="0" w:space="0" w:color="auto"/>
                                <w:right w:val="none" w:sz="0" w:space="0" w:color="auto"/>
                              </w:divBdr>
                              <w:divsChild>
                                <w:div w:id="1747651073">
                                  <w:marLeft w:val="0"/>
                                  <w:marRight w:val="0"/>
                                  <w:marTop w:val="0"/>
                                  <w:marBottom w:val="0"/>
                                  <w:divBdr>
                                    <w:top w:val="none" w:sz="0" w:space="0" w:color="auto"/>
                                    <w:left w:val="none" w:sz="0" w:space="0" w:color="auto"/>
                                    <w:bottom w:val="none" w:sz="0" w:space="0" w:color="auto"/>
                                    <w:right w:val="none" w:sz="0" w:space="0" w:color="auto"/>
                                  </w:divBdr>
                                  <w:divsChild>
                                    <w:div w:id="88501027">
                                      <w:marLeft w:val="0"/>
                                      <w:marRight w:val="0"/>
                                      <w:marTop w:val="0"/>
                                      <w:marBottom w:val="0"/>
                                      <w:divBdr>
                                        <w:top w:val="none" w:sz="0" w:space="0" w:color="auto"/>
                                        <w:left w:val="none" w:sz="0" w:space="0" w:color="auto"/>
                                        <w:bottom w:val="none" w:sz="0" w:space="0" w:color="auto"/>
                                        <w:right w:val="none" w:sz="0" w:space="0" w:color="auto"/>
                                      </w:divBdr>
                                      <w:divsChild>
                                        <w:div w:id="245455414">
                                          <w:marLeft w:val="0"/>
                                          <w:marRight w:val="0"/>
                                          <w:marTop w:val="0"/>
                                          <w:marBottom w:val="120"/>
                                          <w:divBdr>
                                            <w:top w:val="none" w:sz="0" w:space="0" w:color="auto"/>
                                            <w:left w:val="none" w:sz="0" w:space="0" w:color="auto"/>
                                            <w:bottom w:val="none" w:sz="0" w:space="0" w:color="auto"/>
                                            <w:right w:val="none" w:sz="0" w:space="0" w:color="auto"/>
                                          </w:divBdr>
                                          <w:divsChild>
                                            <w:div w:id="2061589864">
                                              <w:marLeft w:val="0"/>
                                              <w:marRight w:val="0"/>
                                              <w:marTop w:val="0"/>
                                              <w:marBottom w:val="0"/>
                                              <w:divBdr>
                                                <w:top w:val="none" w:sz="0" w:space="0" w:color="auto"/>
                                                <w:left w:val="none" w:sz="0" w:space="0" w:color="auto"/>
                                                <w:bottom w:val="none" w:sz="0" w:space="0" w:color="auto"/>
                                                <w:right w:val="none" w:sz="0" w:space="0" w:color="auto"/>
                                              </w:divBdr>
                                            </w:div>
                                          </w:divsChild>
                                        </w:div>
                                        <w:div w:id="1864975628">
                                          <w:marLeft w:val="0"/>
                                          <w:marRight w:val="0"/>
                                          <w:marTop w:val="0"/>
                                          <w:marBottom w:val="0"/>
                                          <w:divBdr>
                                            <w:top w:val="none" w:sz="0" w:space="0" w:color="auto"/>
                                            <w:left w:val="none" w:sz="0" w:space="0" w:color="auto"/>
                                            <w:bottom w:val="none" w:sz="0" w:space="0" w:color="auto"/>
                                            <w:right w:val="none" w:sz="0" w:space="0" w:color="auto"/>
                                          </w:divBdr>
                                        </w:div>
                                      </w:divsChild>
                                    </w:div>
                                    <w:div w:id="1175145206">
                                      <w:marLeft w:val="0"/>
                                      <w:marRight w:val="0"/>
                                      <w:marTop w:val="0"/>
                                      <w:marBottom w:val="0"/>
                                      <w:divBdr>
                                        <w:top w:val="none" w:sz="0" w:space="0" w:color="auto"/>
                                        <w:left w:val="none" w:sz="0" w:space="0" w:color="auto"/>
                                        <w:bottom w:val="none" w:sz="0" w:space="0" w:color="auto"/>
                                        <w:right w:val="none" w:sz="0" w:space="0" w:color="auto"/>
                                      </w:divBdr>
                                      <w:divsChild>
                                        <w:div w:id="1530142907">
                                          <w:marLeft w:val="0"/>
                                          <w:marRight w:val="0"/>
                                          <w:marTop w:val="0"/>
                                          <w:marBottom w:val="0"/>
                                          <w:divBdr>
                                            <w:top w:val="none" w:sz="0" w:space="0" w:color="auto"/>
                                            <w:left w:val="none" w:sz="0" w:space="0" w:color="auto"/>
                                            <w:bottom w:val="none" w:sz="0" w:space="0" w:color="auto"/>
                                            <w:right w:val="none" w:sz="0" w:space="0" w:color="auto"/>
                                          </w:divBdr>
                                        </w:div>
                                      </w:divsChild>
                                    </w:div>
                                    <w:div w:id="1409687797">
                                      <w:marLeft w:val="0"/>
                                      <w:marRight w:val="0"/>
                                      <w:marTop w:val="0"/>
                                      <w:marBottom w:val="0"/>
                                      <w:divBdr>
                                        <w:top w:val="none" w:sz="0" w:space="0" w:color="auto"/>
                                        <w:left w:val="none" w:sz="0" w:space="0" w:color="auto"/>
                                        <w:bottom w:val="none" w:sz="0" w:space="0" w:color="auto"/>
                                        <w:right w:val="none" w:sz="0" w:space="0" w:color="auto"/>
                                      </w:divBdr>
                                      <w:divsChild>
                                        <w:div w:id="1882473172">
                                          <w:marLeft w:val="0"/>
                                          <w:marRight w:val="0"/>
                                          <w:marTop w:val="0"/>
                                          <w:marBottom w:val="0"/>
                                          <w:divBdr>
                                            <w:top w:val="none" w:sz="0" w:space="0" w:color="auto"/>
                                            <w:left w:val="none" w:sz="0" w:space="0" w:color="auto"/>
                                            <w:bottom w:val="none" w:sz="0" w:space="0" w:color="auto"/>
                                            <w:right w:val="none" w:sz="0" w:space="0" w:color="auto"/>
                                          </w:divBdr>
                                        </w:div>
                                      </w:divsChild>
                                    </w:div>
                                    <w:div w:id="1891577578">
                                      <w:marLeft w:val="0"/>
                                      <w:marRight w:val="0"/>
                                      <w:marTop w:val="0"/>
                                      <w:marBottom w:val="0"/>
                                      <w:divBdr>
                                        <w:top w:val="none" w:sz="0" w:space="0" w:color="auto"/>
                                        <w:left w:val="none" w:sz="0" w:space="0" w:color="auto"/>
                                        <w:bottom w:val="none" w:sz="0" w:space="0" w:color="auto"/>
                                        <w:right w:val="none" w:sz="0" w:space="0" w:color="auto"/>
                                      </w:divBdr>
                                      <w:divsChild>
                                        <w:div w:id="13292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106137">
      <w:bodyDiv w:val="1"/>
      <w:marLeft w:val="0"/>
      <w:marRight w:val="0"/>
      <w:marTop w:val="0"/>
      <w:marBottom w:val="0"/>
      <w:divBdr>
        <w:top w:val="none" w:sz="0" w:space="0" w:color="auto"/>
        <w:left w:val="none" w:sz="0" w:space="0" w:color="auto"/>
        <w:bottom w:val="none" w:sz="0" w:space="0" w:color="auto"/>
        <w:right w:val="none" w:sz="0" w:space="0" w:color="auto"/>
      </w:divBdr>
      <w:divsChild>
        <w:div w:id="1332833416">
          <w:marLeft w:val="120"/>
          <w:marRight w:val="75"/>
          <w:marTop w:val="0"/>
          <w:marBottom w:val="0"/>
          <w:divBdr>
            <w:top w:val="none" w:sz="0" w:space="0" w:color="auto"/>
            <w:left w:val="none" w:sz="0" w:space="0" w:color="auto"/>
            <w:bottom w:val="none" w:sz="0" w:space="0" w:color="auto"/>
            <w:right w:val="none" w:sz="0" w:space="0" w:color="auto"/>
          </w:divBdr>
          <w:divsChild>
            <w:div w:id="2016036360">
              <w:marLeft w:val="0"/>
              <w:marRight w:val="0"/>
              <w:marTop w:val="0"/>
              <w:marBottom w:val="0"/>
              <w:divBdr>
                <w:top w:val="none" w:sz="0" w:space="0" w:color="auto"/>
                <w:left w:val="none" w:sz="0" w:space="0" w:color="auto"/>
                <w:bottom w:val="none" w:sz="0" w:space="0" w:color="auto"/>
                <w:right w:val="none" w:sz="0" w:space="0" w:color="auto"/>
              </w:divBdr>
              <w:divsChild>
                <w:div w:id="2008051933">
                  <w:marLeft w:val="0"/>
                  <w:marRight w:val="0"/>
                  <w:marTop w:val="0"/>
                  <w:marBottom w:val="0"/>
                  <w:divBdr>
                    <w:top w:val="none" w:sz="0" w:space="0" w:color="auto"/>
                    <w:left w:val="none" w:sz="0" w:space="0" w:color="auto"/>
                    <w:bottom w:val="none" w:sz="0" w:space="0" w:color="auto"/>
                    <w:right w:val="none" w:sz="0" w:space="0" w:color="auto"/>
                  </w:divBdr>
                  <w:divsChild>
                    <w:div w:id="1749690080">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919267">
      <w:bodyDiv w:val="1"/>
      <w:marLeft w:val="0"/>
      <w:marRight w:val="0"/>
      <w:marTop w:val="0"/>
      <w:marBottom w:val="0"/>
      <w:divBdr>
        <w:top w:val="none" w:sz="0" w:space="0" w:color="auto"/>
        <w:left w:val="none" w:sz="0" w:space="0" w:color="auto"/>
        <w:bottom w:val="none" w:sz="0" w:space="0" w:color="auto"/>
        <w:right w:val="none" w:sz="0" w:space="0" w:color="auto"/>
      </w:divBdr>
      <w:divsChild>
        <w:div w:id="1057583948">
          <w:marLeft w:val="120"/>
          <w:marRight w:val="75"/>
          <w:marTop w:val="0"/>
          <w:marBottom w:val="0"/>
          <w:divBdr>
            <w:top w:val="none" w:sz="0" w:space="0" w:color="auto"/>
            <w:left w:val="none" w:sz="0" w:space="0" w:color="auto"/>
            <w:bottom w:val="none" w:sz="0" w:space="0" w:color="auto"/>
            <w:right w:val="none" w:sz="0" w:space="0" w:color="auto"/>
          </w:divBdr>
          <w:divsChild>
            <w:div w:id="997002032">
              <w:marLeft w:val="0"/>
              <w:marRight w:val="0"/>
              <w:marTop w:val="0"/>
              <w:marBottom w:val="0"/>
              <w:divBdr>
                <w:top w:val="none" w:sz="0" w:space="0" w:color="auto"/>
                <w:left w:val="none" w:sz="0" w:space="0" w:color="auto"/>
                <w:bottom w:val="none" w:sz="0" w:space="0" w:color="auto"/>
                <w:right w:val="none" w:sz="0" w:space="0" w:color="auto"/>
              </w:divBdr>
              <w:divsChild>
                <w:div w:id="761494755">
                  <w:marLeft w:val="0"/>
                  <w:marRight w:val="0"/>
                  <w:marTop w:val="0"/>
                  <w:marBottom w:val="0"/>
                  <w:divBdr>
                    <w:top w:val="none" w:sz="0" w:space="0" w:color="auto"/>
                    <w:left w:val="none" w:sz="0" w:space="0" w:color="auto"/>
                    <w:bottom w:val="none" w:sz="0" w:space="0" w:color="auto"/>
                    <w:right w:val="none" w:sz="0" w:space="0" w:color="auto"/>
                  </w:divBdr>
                  <w:divsChild>
                    <w:div w:id="19509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3888</Characters>
  <Application>Microsoft Office Word</Application>
  <DocSecurity>0</DocSecurity>
  <Lines>32</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Relation between the renin-angiotensin-aldosterone system and arterial stiffness in young healthy subjects</vt:lpstr>
      <vt:lpstr>Relation between the renin-angiotensin-aldosterone system and arterial stiffness in young healthy subjects</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 between the renin-angiotensin-aldosterone system and arterial stiffness in young healthy subjects</dc:title>
  <dc:subject/>
  <dc:creator>Shargorodsky, Marina - מרינה שרגורודסקי</dc:creator>
  <cp:keywords/>
  <cp:lastModifiedBy>Marine Biology</cp:lastModifiedBy>
  <cp:revision>3</cp:revision>
  <dcterms:created xsi:type="dcterms:W3CDTF">2022-10-12T05:59:00Z</dcterms:created>
  <dcterms:modified xsi:type="dcterms:W3CDTF">2022-10-12T05:59:00Z</dcterms:modified>
</cp:coreProperties>
</file>