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3F7AC3" w14:textId="77777777" w:rsidR="00027040" w:rsidRDefault="00027040" w:rsidP="00213432">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The outcome of low dose insulin (0.05unit/kg/</w:t>
      </w:r>
      <w:proofErr w:type="spellStart"/>
      <w:r>
        <w:rPr>
          <w:rFonts w:ascii="Times New Roman" w:hAnsi="Times New Roman" w:cs="Times New Roman"/>
          <w:lang w:val="en-US"/>
        </w:rPr>
        <w:t>hr</w:t>
      </w:r>
      <w:proofErr w:type="spellEnd"/>
      <w:r>
        <w:rPr>
          <w:rFonts w:ascii="Times New Roman" w:hAnsi="Times New Roman" w:cs="Times New Roman"/>
          <w:lang w:val="en-US"/>
        </w:rPr>
        <w:t>) versus standard-dose insulin</w:t>
      </w:r>
    </w:p>
    <w:p w14:paraId="0FB2ED4F" w14:textId="3223426F" w:rsidR="00734544" w:rsidRDefault="00027040" w:rsidP="00213432">
      <w:pPr>
        <w:jc w:val="center"/>
        <w:rPr>
          <w:rFonts w:ascii="Times New Roman" w:hAnsi="Times New Roman" w:cs="Times New Roman"/>
          <w:lang w:val="en-US"/>
        </w:rPr>
      </w:pPr>
      <w:r>
        <w:rPr>
          <w:rFonts w:ascii="Times New Roman" w:hAnsi="Times New Roman" w:cs="Times New Roman"/>
          <w:lang w:val="en-US"/>
        </w:rPr>
        <w:t>(0.1unit/kg/</w:t>
      </w:r>
      <w:proofErr w:type="spellStart"/>
      <w:r>
        <w:rPr>
          <w:rFonts w:ascii="Times New Roman" w:hAnsi="Times New Roman" w:cs="Times New Roman"/>
          <w:lang w:val="en-US"/>
        </w:rPr>
        <w:t>hr</w:t>
      </w:r>
      <w:proofErr w:type="spellEnd"/>
      <w:r>
        <w:rPr>
          <w:rFonts w:ascii="Times New Roman" w:hAnsi="Times New Roman" w:cs="Times New Roman"/>
          <w:lang w:val="en-US"/>
        </w:rPr>
        <w:t xml:space="preserve">) for diabetic ketoacidosis in children. A systematic review and </w:t>
      </w:r>
      <w:proofErr w:type="spellStart"/>
      <w:proofErr w:type="gramStart"/>
      <w:r>
        <w:rPr>
          <w:rFonts w:ascii="Times New Roman" w:hAnsi="Times New Roman" w:cs="Times New Roman"/>
          <w:lang w:val="en-US"/>
        </w:rPr>
        <w:t>meta</w:t>
      </w:r>
      <w:proofErr w:type="gramEnd"/>
      <w:r>
        <w:rPr>
          <w:rFonts w:ascii="Times New Roman" w:hAnsi="Times New Roman" w:cs="Times New Roman"/>
          <w:lang w:val="en-US"/>
        </w:rPr>
        <w:t xml:space="preserve"> analysis</w:t>
      </w:r>
      <w:proofErr w:type="spellEnd"/>
      <w:r>
        <w:rPr>
          <w:rFonts w:ascii="Times New Roman" w:hAnsi="Times New Roman" w:cs="Times New Roman"/>
          <w:lang w:val="en-US"/>
        </w:rPr>
        <w:t>.</w:t>
      </w:r>
    </w:p>
    <w:p w14:paraId="0DB87784" w14:textId="78CDB899" w:rsidR="00027040" w:rsidRDefault="00027040" w:rsidP="00213432">
      <w:pPr>
        <w:jc w:val="center"/>
        <w:rPr>
          <w:rFonts w:ascii="Times New Roman" w:hAnsi="Times New Roman" w:cs="Times New Roman"/>
          <w:lang w:val="en-US"/>
        </w:rPr>
      </w:pPr>
    </w:p>
    <w:p w14:paraId="072FC7E3" w14:textId="696C8554" w:rsidR="00027040" w:rsidRDefault="00027040" w:rsidP="00213432">
      <w:pPr>
        <w:jc w:val="center"/>
        <w:rPr>
          <w:rFonts w:ascii="Times New Roman" w:hAnsi="Times New Roman" w:cs="Times New Roman"/>
          <w:lang w:val="en-US"/>
        </w:rPr>
      </w:pPr>
      <w:r>
        <w:rPr>
          <w:rFonts w:ascii="Times New Roman" w:hAnsi="Times New Roman" w:cs="Times New Roman"/>
          <w:lang w:val="en-US"/>
        </w:rPr>
        <w:t>Saif Awlad Thani</w:t>
      </w:r>
    </w:p>
    <w:p w14:paraId="0343D4D7" w14:textId="5C48F01B" w:rsidR="00027040" w:rsidRDefault="00027040" w:rsidP="00213432">
      <w:pPr>
        <w:rPr>
          <w:rFonts w:ascii="Times New Roman" w:hAnsi="Times New Roman" w:cs="Times New Roman"/>
          <w:lang w:val="en-US"/>
        </w:rPr>
      </w:pPr>
    </w:p>
    <w:p w14:paraId="753017E5" w14:textId="5111A619" w:rsidR="00027040" w:rsidRDefault="00027040" w:rsidP="00213432">
      <w:pPr>
        <w:rPr>
          <w:rFonts w:ascii="Times New Roman" w:hAnsi="Times New Roman" w:cs="Times New Roman"/>
          <w:lang w:val="en-US"/>
        </w:rPr>
      </w:pPr>
    </w:p>
    <w:p w14:paraId="2D1DFB4E" w14:textId="723E9A3A" w:rsidR="00027040" w:rsidRDefault="00027040" w:rsidP="00213432">
      <w:pPr>
        <w:jc w:val="both"/>
        <w:rPr>
          <w:rFonts w:ascii="Times New Roman" w:hAnsi="Times New Roman" w:cs="Times New Roman"/>
          <w:lang w:val="en-US"/>
        </w:rPr>
      </w:pPr>
    </w:p>
    <w:p w14:paraId="1E1CE787" w14:textId="72659EB5" w:rsidR="00027040" w:rsidRPr="00027040" w:rsidRDefault="00027040" w:rsidP="00213432">
      <w:pPr>
        <w:autoSpaceDE w:val="0"/>
        <w:autoSpaceDN w:val="0"/>
        <w:adjustRightInd w:val="0"/>
        <w:jc w:val="both"/>
        <w:rPr>
          <w:rFonts w:ascii="Times New Roman" w:hAnsi="Times New Roman" w:cs="Times New Roman"/>
          <w:b/>
          <w:bCs/>
          <w:lang w:val="en-US"/>
        </w:rPr>
      </w:pPr>
      <w:r w:rsidRPr="00027040">
        <w:rPr>
          <w:rFonts w:ascii="Times New Roman" w:hAnsi="Times New Roman" w:cs="Times New Roman"/>
          <w:b/>
          <w:bCs/>
          <w:lang w:val="en-US"/>
        </w:rPr>
        <w:t>Abstract:</w:t>
      </w:r>
    </w:p>
    <w:p w14:paraId="3F867120" w14:textId="77777777" w:rsidR="00027040" w:rsidRDefault="00027040" w:rsidP="00213432">
      <w:pPr>
        <w:autoSpaceDE w:val="0"/>
        <w:autoSpaceDN w:val="0"/>
        <w:adjustRightInd w:val="0"/>
        <w:jc w:val="both"/>
        <w:rPr>
          <w:rFonts w:ascii="Times New Roman" w:hAnsi="Times New Roman" w:cs="Times New Roman"/>
          <w:lang w:val="en-US"/>
        </w:rPr>
      </w:pPr>
    </w:p>
    <w:p w14:paraId="55EAD7B8" w14:textId="77777777" w:rsidR="00027040" w:rsidRPr="00027040" w:rsidRDefault="00027040" w:rsidP="00213432">
      <w:pPr>
        <w:autoSpaceDE w:val="0"/>
        <w:autoSpaceDN w:val="0"/>
        <w:adjustRightInd w:val="0"/>
        <w:jc w:val="both"/>
        <w:rPr>
          <w:rFonts w:ascii="Times New Roman" w:hAnsi="Times New Roman" w:cs="Times New Roman"/>
          <w:b/>
          <w:bCs/>
          <w:lang w:val="en-US"/>
        </w:rPr>
      </w:pPr>
      <w:r w:rsidRPr="00027040">
        <w:rPr>
          <w:rFonts w:ascii="Times New Roman" w:hAnsi="Times New Roman" w:cs="Times New Roman"/>
          <w:b/>
          <w:bCs/>
          <w:lang w:val="en-US"/>
        </w:rPr>
        <w:t>Background:</w:t>
      </w:r>
    </w:p>
    <w:p w14:paraId="2D629818"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Diabetic ketoacidosis (DKA) is a life-threatening event associated with severe complications</w:t>
      </w:r>
    </w:p>
    <w:p w14:paraId="3A7199ED"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related to the disease itself and the way of management. Over decades, the insulin infusion doses</w:t>
      </w:r>
    </w:p>
    <w:p w14:paraId="332ADE55" w14:textId="23AEBDB5"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used to revert ketosis and treat hypoglycemia have been evolving.</w:t>
      </w:r>
    </w:p>
    <w:p w14:paraId="01B07D82" w14:textId="77777777" w:rsidR="00027040" w:rsidRDefault="00027040" w:rsidP="00213432">
      <w:pPr>
        <w:autoSpaceDE w:val="0"/>
        <w:autoSpaceDN w:val="0"/>
        <w:adjustRightInd w:val="0"/>
        <w:jc w:val="both"/>
        <w:rPr>
          <w:rFonts w:ascii="Times New Roman" w:hAnsi="Times New Roman" w:cs="Times New Roman"/>
          <w:lang w:val="en-US"/>
        </w:rPr>
      </w:pPr>
    </w:p>
    <w:p w14:paraId="0EA0366D" w14:textId="77777777" w:rsidR="00027040" w:rsidRPr="00027040" w:rsidRDefault="00027040" w:rsidP="00213432">
      <w:pPr>
        <w:autoSpaceDE w:val="0"/>
        <w:autoSpaceDN w:val="0"/>
        <w:adjustRightInd w:val="0"/>
        <w:jc w:val="both"/>
        <w:rPr>
          <w:rFonts w:ascii="Times New Roman" w:hAnsi="Times New Roman" w:cs="Times New Roman"/>
          <w:b/>
          <w:bCs/>
          <w:lang w:val="en-US"/>
        </w:rPr>
      </w:pPr>
      <w:r w:rsidRPr="00027040">
        <w:rPr>
          <w:rFonts w:ascii="Times New Roman" w:hAnsi="Times New Roman" w:cs="Times New Roman"/>
          <w:b/>
          <w:bCs/>
          <w:lang w:val="en-US"/>
        </w:rPr>
        <w:t>Objectives:</w:t>
      </w:r>
    </w:p>
    <w:p w14:paraId="3354BB61"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To compare the outcomes of low dose insulin infusion (0.05 unit/kg/</w:t>
      </w:r>
      <w:proofErr w:type="spellStart"/>
      <w:r>
        <w:rPr>
          <w:rFonts w:ascii="Times New Roman" w:hAnsi="Times New Roman" w:cs="Times New Roman"/>
          <w:lang w:val="en-US"/>
        </w:rPr>
        <w:t>hr</w:t>
      </w:r>
      <w:proofErr w:type="spellEnd"/>
      <w:r>
        <w:rPr>
          <w:rFonts w:ascii="Times New Roman" w:hAnsi="Times New Roman" w:cs="Times New Roman"/>
          <w:lang w:val="en-US"/>
        </w:rPr>
        <w:t>) and standard-dose</w:t>
      </w:r>
    </w:p>
    <w:p w14:paraId="54A55287"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insulin infusion (0.1 unit/kg/</w:t>
      </w:r>
      <w:proofErr w:type="spellStart"/>
      <w:r>
        <w:rPr>
          <w:rFonts w:ascii="Times New Roman" w:hAnsi="Times New Roman" w:cs="Times New Roman"/>
          <w:lang w:val="en-US"/>
        </w:rPr>
        <w:t>hr</w:t>
      </w:r>
      <w:proofErr w:type="spellEnd"/>
      <w:r>
        <w:rPr>
          <w:rFonts w:ascii="Times New Roman" w:hAnsi="Times New Roman" w:cs="Times New Roman"/>
          <w:lang w:val="en-US"/>
        </w:rPr>
        <w:t>) in children with DKA.</w:t>
      </w:r>
    </w:p>
    <w:p w14:paraId="655BDA29"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Search methods:</w:t>
      </w:r>
    </w:p>
    <w:p w14:paraId="0FCD3DED"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We searched Ovid Medline (from 1946 to October 2</w:t>
      </w:r>
      <w:r>
        <w:rPr>
          <w:rFonts w:ascii="Times New Roman" w:hAnsi="Times New Roman" w:cs="Times New Roman"/>
          <w:sz w:val="16"/>
          <w:szCs w:val="16"/>
          <w:lang w:val="en-US"/>
        </w:rPr>
        <w:t>nd</w:t>
      </w:r>
      <w:r>
        <w:rPr>
          <w:rFonts w:ascii="Times New Roman" w:hAnsi="Times New Roman" w:cs="Times New Roman"/>
          <w:lang w:val="en-US"/>
        </w:rPr>
        <w:t>, 2021), Ovid EMBASE (from 1974 to</w:t>
      </w:r>
    </w:p>
    <w:p w14:paraId="52C6BA1A"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October 2</w:t>
      </w:r>
      <w:r>
        <w:rPr>
          <w:rFonts w:ascii="Times New Roman" w:hAnsi="Times New Roman" w:cs="Times New Roman"/>
          <w:sz w:val="16"/>
          <w:szCs w:val="16"/>
          <w:lang w:val="en-US"/>
        </w:rPr>
        <w:t>nd</w:t>
      </w:r>
      <w:r>
        <w:rPr>
          <w:rFonts w:ascii="Times New Roman" w:hAnsi="Times New Roman" w:cs="Times New Roman"/>
          <w:lang w:val="en-US"/>
        </w:rPr>
        <w:t>, 2021), clinicaltrial.gov for ongoing trials, and Cochrane library. We limited the search to English language and adult only, but we did not limit the search to any time or any</w:t>
      </w:r>
    </w:p>
    <w:p w14:paraId="2CDE60B9"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geographical location.</w:t>
      </w:r>
    </w:p>
    <w:p w14:paraId="6A31548C"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We also searched in the reference lists of other trials and review articles for further published</w:t>
      </w:r>
    </w:p>
    <w:p w14:paraId="018579AC" w14:textId="6ACB92E8"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articles.</w:t>
      </w:r>
    </w:p>
    <w:p w14:paraId="1ECFAE58" w14:textId="77777777" w:rsidR="00027040" w:rsidRDefault="00027040" w:rsidP="00213432">
      <w:pPr>
        <w:autoSpaceDE w:val="0"/>
        <w:autoSpaceDN w:val="0"/>
        <w:adjustRightInd w:val="0"/>
        <w:jc w:val="both"/>
        <w:rPr>
          <w:rFonts w:ascii="Times New Roman" w:hAnsi="Times New Roman" w:cs="Times New Roman"/>
          <w:lang w:val="en-US"/>
        </w:rPr>
      </w:pPr>
    </w:p>
    <w:p w14:paraId="789963CB" w14:textId="77777777" w:rsidR="00027040" w:rsidRPr="00027040" w:rsidRDefault="00027040" w:rsidP="00213432">
      <w:pPr>
        <w:autoSpaceDE w:val="0"/>
        <w:autoSpaceDN w:val="0"/>
        <w:adjustRightInd w:val="0"/>
        <w:jc w:val="both"/>
        <w:rPr>
          <w:rFonts w:ascii="Times New Roman" w:hAnsi="Times New Roman" w:cs="Times New Roman"/>
          <w:b/>
          <w:bCs/>
          <w:lang w:val="en-US"/>
        </w:rPr>
      </w:pPr>
      <w:r w:rsidRPr="00027040">
        <w:rPr>
          <w:rFonts w:ascii="Times New Roman" w:hAnsi="Times New Roman" w:cs="Times New Roman"/>
          <w:b/>
          <w:bCs/>
          <w:lang w:val="en-US"/>
        </w:rPr>
        <w:t>Data collection and analysis:</w:t>
      </w:r>
    </w:p>
    <w:p w14:paraId="2F965850"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Two independent reviewers did data collection and risk of bias assessment. We used</w:t>
      </w:r>
    </w:p>
    <w:p w14:paraId="35C6B3EE"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the generic inverse variance method or Mantel-Haenszel as appropriate, and data were pooled</w:t>
      </w:r>
    </w:p>
    <w:p w14:paraId="136B4AE3"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using the random-effects model. Results:</w:t>
      </w:r>
    </w:p>
    <w:p w14:paraId="1624B0B9"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This review included three randomized controlled trials and one retrospective cohort study with a</w:t>
      </w:r>
    </w:p>
    <w:p w14:paraId="189C5CE9"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control group. 253 patients were included, 121 patients were in the intervention arm, and 132</w:t>
      </w:r>
    </w:p>
    <w:p w14:paraId="41A516DC"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patients were in the control arm. All studies included pediatric patients who were less than 18-</w:t>
      </w:r>
    </w:p>
    <w:p w14:paraId="756AC2F2"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year-old. The risk of bias assessment showed a low risk of bias in three randomized trials and</w:t>
      </w:r>
    </w:p>
    <w:p w14:paraId="1BC5B3A1"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some concern in the remaining nonrandomized study. There was moderate certainty of evidence</w:t>
      </w:r>
    </w:p>
    <w:p w14:paraId="62591FBB" w14:textId="34AE881A"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 xml:space="preserve">among all outcomes. There was no difference between low dose insulin infusion and </w:t>
      </w:r>
      <w:proofErr w:type="spellStart"/>
      <w:r>
        <w:rPr>
          <w:rFonts w:ascii="Times New Roman" w:hAnsi="Times New Roman" w:cs="Times New Roman"/>
          <w:lang w:val="en-US"/>
        </w:rPr>
        <w:t>standarddose</w:t>
      </w:r>
      <w:proofErr w:type="spellEnd"/>
      <w:r>
        <w:rPr>
          <w:rFonts w:ascii="Times New Roman" w:hAnsi="Times New Roman" w:cs="Times New Roman"/>
          <w:lang w:val="en-US"/>
        </w:rPr>
        <w:t xml:space="preserve"> insulin infusion in the time to resolution of DKA (MD: - 0.55, 95% CI: -2.58 to 1.48), rate of blood glucose decrease till reaches 250mg/dl (MD: -7.23, 95% CI: - 17.83 to 3.36), and cerebral edema episodes (RD: -0.01, 95% CI: - 0.05 to 0.04). The risk of hypoglycemia was</w:t>
      </w:r>
    </w:p>
    <w:p w14:paraId="66AF9A6E" w14:textId="333E2675" w:rsidR="00027040" w:rsidRDefault="00027040" w:rsidP="00213432">
      <w:pPr>
        <w:jc w:val="both"/>
        <w:rPr>
          <w:rFonts w:ascii="Times New Roman" w:hAnsi="Times New Roman" w:cs="Times New Roman"/>
          <w:lang w:val="en-US"/>
        </w:rPr>
      </w:pPr>
      <w:r>
        <w:rPr>
          <w:rFonts w:ascii="Times New Roman" w:hAnsi="Times New Roman" w:cs="Times New Roman"/>
          <w:lang w:val="en-US"/>
        </w:rPr>
        <w:t>lower with low-dose insulin infusion (RD: -0.12, 95% CIs: – 0.21 to – 0.04)</w:t>
      </w:r>
    </w:p>
    <w:p w14:paraId="725636C9" w14:textId="7080A684" w:rsidR="00027040" w:rsidRDefault="00027040" w:rsidP="00213432">
      <w:pPr>
        <w:jc w:val="both"/>
        <w:rPr>
          <w:rFonts w:ascii="Times New Roman" w:hAnsi="Times New Roman" w:cs="Times New Roman"/>
          <w:lang w:val="en-US"/>
        </w:rPr>
      </w:pPr>
    </w:p>
    <w:p w14:paraId="0D6D0314" w14:textId="77777777" w:rsidR="00027040" w:rsidRPr="00027040" w:rsidRDefault="00027040" w:rsidP="00213432">
      <w:pPr>
        <w:autoSpaceDE w:val="0"/>
        <w:autoSpaceDN w:val="0"/>
        <w:adjustRightInd w:val="0"/>
        <w:jc w:val="both"/>
        <w:rPr>
          <w:rFonts w:ascii="Times New Roman" w:hAnsi="Times New Roman" w:cs="Times New Roman"/>
          <w:b/>
          <w:bCs/>
          <w:lang w:val="en-US"/>
        </w:rPr>
      </w:pPr>
      <w:r w:rsidRPr="00027040">
        <w:rPr>
          <w:rFonts w:ascii="Times New Roman" w:hAnsi="Times New Roman" w:cs="Times New Roman"/>
          <w:b/>
          <w:bCs/>
          <w:lang w:val="en-US"/>
        </w:rPr>
        <w:t>Conclusions:</w:t>
      </w:r>
    </w:p>
    <w:p w14:paraId="2A1BCA7E" w14:textId="77777777"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Moderate level of evidence showed no difference in the time to resolution of DKA, rate of blood</w:t>
      </w:r>
    </w:p>
    <w:p w14:paraId="12810C91" w14:textId="790D04B0" w:rsidR="00027040" w:rsidRDefault="00027040" w:rsidP="00213432">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 xml:space="preserve">glucose decreases, and cerebral edema episodes between low dose insulin infusion and </w:t>
      </w:r>
      <w:proofErr w:type="spellStart"/>
      <w:r>
        <w:rPr>
          <w:rFonts w:ascii="Times New Roman" w:hAnsi="Times New Roman" w:cs="Times New Roman"/>
          <w:lang w:val="en-US"/>
        </w:rPr>
        <w:t>standarddose</w:t>
      </w:r>
      <w:proofErr w:type="spellEnd"/>
      <w:r>
        <w:rPr>
          <w:rFonts w:ascii="Times New Roman" w:hAnsi="Times New Roman" w:cs="Times New Roman"/>
          <w:lang w:val="en-US"/>
        </w:rPr>
        <w:t xml:space="preserve"> insulin infusion for children with DKA. On the other hand, the risk of hypoglycemia was lower with low-dose insulin infusion. This review showed that low-dose </w:t>
      </w:r>
      <w:r>
        <w:rPr>
          <w:rFonts w:ascii="Times New Roman" w:hAnsi="Times New Roman" w:cs="Times New Roman"/>
          <w:lang w:val="en-US"/>
        </w:rPr>
        <w:lastRenderedPageBreak/>
        <w:t>insulin infusion can be used for children with DKA and may be associated with a lower risk of hypoglycemia.</w:t>
      </w:r>
    </w:p>
    <w:p w14:paraId="0389DE36" w14:textId="77777777" w:rsidR="0090266E" w:rsidRDefault="0090266E" w:rsidP="00213432">
      <w:pPr>
        <w:jc w:val="both"/>
      </w:pPr>
    </w:p>
    <w:p w14:paraId="49EB8DCA" w14:textId="77777777" w:rsidR="0090266E" w:rsidRPr="0090266E" w:rsidRDefault="0090266E" w:rsidP="00213432">
      <w:pPr>
        <w:jc w:val="both"/>
        <w:rPr>
          <w:b/>
        </w:rPr>
      </w:pPr>
      <w:r w:rsidRPr="0090266E">
        <w:rPr>
          <w:b/>
        </w:rPr>
        <w:t>Biography:</w:t>
      </w:r>
    </w:p>
    <w:p w14:paraId="5B1E7716" w14:textId="77777777" w:rsidR="0090266E" w:rsidRDefault="0090266E" w:rsidP="00213432">
      <w:pPr>
        <w:jc w:val="both"/>
      </w:pPr>
    </w:p>
    <w:p w14:paraId="74F9E717" w14:textId="6CAB5286" w:rsidR="00027040" w:rsidRDefault="0090266E" w:rsidP="00213432">
      <w:pPr>
        <w:jc w:val="both"/>
      </w:pPr>
      <w:proofErr w:type="spellStart"/>
      <w:r>
        <w:t>Saif</w:t>
      </w:r>
      <w:proofErr w:type="spellEnd"/>
      <w:r>
        <w:t xml:space="preserve"> </w:t>
      </w:r>
      <w:proofErr w:type="spellStart"/>
      <w:r>
        <w:t>Awlad</w:t>
      </w:r>
      <w:proofErr w:type="spellEnd"/>
      <w:r>
        <w:t xml:space="preserve"> </w:t>
      </w:r>
      <w:proofErr w:type="spellStart"/>
      <w:r>
        <w:t>thani</w:t>
      </w:r>
      <w:proofErr w:type="spellEnd"/>
      <w:r>
        <w:t xml:space="preserve"> is a pediatric Intensivist </w:t>
      </w:r>
      <w:proofErr w:type="gramStart"/>
      <w:r>
        <w:t>from  Sultanate</w:t>
      </w:r>
      <w:proofErr w:type="gramEnd"/>
      <w:r>
        <w:t xml:space="preserve"> of Oman. He finished his medical school in Sultan </w:t>
      </w:r>
      <w:proofErr w:type="spellStart"/>
      <w:r>
        <w:t>Qaboos</w:t>
      </w:r>
      <w:proofErr w:type="spellEnd"/>
      <w:r>
        <w:t xml:space="preserve">   University and pediatric residency in Oman Medical Specialty board in Oman. He finished his PICU fellowship in McMaster </w:t>
      </w:r>
      <w:proofErr w:type="gramStart"/>
      <w:r>
        <w:t>university</w:t>
      </w:r>
      <w:proofErr w:type="gramEnd"/>
      <w:r>
        <w:t xml:space="preserve"> in Canada. Currently he is working in a tertiary hospital in Oman and acting as deputy director of cardiac ICU. He is the founder and leader of pediatric home ventilation team. He is interested in improving quality of care and PICU patient’s outcome. He participated in pilot RCT and qualitative study about early mobilization in critically ill children. He is interested in research and education and working in many research project and coordinating PICU teach</w:t>
      </w:r>
      <w:bookmarkStart w:id="0" w:name="_GoBack"/>
      <w:bookmarkEnd w:id="0"/>
      <w:r>
        <w:t xml:space="preserve">ing for PICU residents.    </w:t>
      </w:r>
    </w:p>
    <w:sectPr w:rsidR="000270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040"/>
    <w:rsid w:val="00027040"/>
    <w:rsid w:val="0006299E"/>
    <w:rsid w:val="00213432"/>
    <w:rsid w:val="003904C0"/>
    <w:rsid w:val="004363A7"/>
    <w:rsid w:val="0090266E"/>
    <w:rsid w:val="00A13B28"/>
    <w:rsid w:val="00C57245"/>
    <w:rsid w:val="00DC25A3"/>
    <w:rsid w:val="00F56D4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069120">
      <w:bodyDiv w:val="1"/>
      <w:marLeft w:val="0"/>
      <w:marRight w:val="0"/>
      <w:marTop w:val="0"/>
      <w:marBottom w:val="0"/>
      <w:divBdr>
        <w:top w:val="none" w:sz="0" w:space="0" w:color="auto"/>
        <w:left w:val="none" w:sz="0" w:space="0" w:color="auto"/>
        <w:bottom w:val="none" w:sz="0" w:space="0" w:color="auto"/>
        <w:right w:val="none" w:sz="0" w:space="0" w:color="auto"/>
      </w:divBdr>
      <w:divsChild>
        <w:div w:id="1391807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 awladthani</dc:creator>
  <cp:keywords/>
  <dc:description/>
  <cp:lastModifiedBy>Physiotherapists 2017</cp:lastModifiedBy>
  <cp:revision>6</cp:revision>
  <dcterms:created xsi:type="dcterms:W3CDTF">2022-10-11T17:32:00Z</dcterms:created>
  <dcterms:modified xsi:type="dcterms:W3CDTF">2022-10-12T05:52:00Z</dcterms:modified>
</cp:coreProperties>
</file>