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9CB" w:rsidRPr="002C49CB" w:rsidRDefault="002C49CB" w:rsidP="002C49CB">
      <w:pPr>
        <w:jc w:val="both"/>
        <w:rPr>
          <w:rFonts w:ascii="Times New Roman" w:hAnsi="Times New Roman" w:cs="Times New Roman"/>
          <w:b/>
        </w:rPr>
      </w:pPr>
      <w:r w:rsidRPr="002C49CB">
        <w:rPr>
          <w:rFonts w:ascii="Times New Roman" w:hAnsi="Times New Roman" w:cs="Times New Roman"/>
          <w:b/>
        </w:rPr>
        <w:t>Dexamethasone and CD300a activation display additive inhibitory effect on human and murine mast cell functions</w:t>
      </w:r>
    </w:p>
    <w:p w:rsidR="002C49CB" w:rsidRPr="002C49CB" w:rsidRDefault="002C49CB" w:rsidP="002C49CB">
      <w:pPr>
        <w:rPr>
          <w:rFonts w:ascii="Times New Roman" w:hAnsi="Times New Roman" w:cs="Times New Roman"/>
          <w:lang w:val="es-ES"/>
        </w:rPr>
      </w:pPr>
      <w:bookmarkStart w:id="0" w:name="_GoBack"/>
      <w:proofErr w:type="spellStart"/>
      <w:r w:rsidRPr="002C49CB">
        <w:rPr>
          <w:rFonts w:ascii="Times New Roman" w:hAnsi="Times New Roman" w:cs="Times New Roman"/>
          <w:lang w:val="es-ES"/>
        </w:rPr>
        <w:t>Pratibha</w:t>
      </w:r>
      <w:proofErr w:type="spellEnd"/>
      <w:r w:rsidRPr="002C49CB">
        <w:rPr>
          <w:rFonts w:ascii="Times New Roman" w:hAnsi="Times New Roman" w:cs="Times New Roman"/>
          <w:lang w:val="es-ES"/>
        </w:rPr>
        <w:t xml:space="preserve"> Gaur</w:t>
      </w:r>
      <w:bookmarkEnd w:id="0"/>
      <w:r w:rsidRPr="002C49CB">
        <w:rPr>
          <w:rFonts w:ascii="Times New Roman" w:hAnsi="Times New Roman" w:cs="Times New Roman"/>
          <w:vertAlign w:val="superscript"/>
          <w:lang w:val="es-ES"/>
        </w:rPr>
        <w:t>1</w:t>
      </w:r>
      <w:r w:rsidRPr="002C49CB">
        <w:rPr>
          <w:rFonts w:ascii="Times New Roman" w:hAnsi="Times New Roman" w:cs="Times New Roman"/>
          <w:lang w:val="es-ES"/>
        </w:rPr>
        <w:t xml:space="preserve">, </w:t>
      </w:r>
      <w:proofErr w:type="spellStart"/>
      <w:r w:rsidRPr="002C49CB">
        <w:rPr>
          <w:rFonts w:ascii="Times New Roman" w:hAnsi="Times New Roman" w:cs="Times New Roman"/>
          <w:lang w:val="es-ES"/>
        </w:rPr>
        <w:t>Fidan</w:t>
      </w:r>
      <w:proofErr w:type="spellEnd"/>
      <w:r w:rsidRPr="002C49CB">
        <w:rPr>
          <w:rFonts w:ascii="Times New Roman" w:hAnsi="Times New Roman" w:cs="Times New Roman"/>
          <w:lang w:val="es-ES"/>
        </w:rPr>
        <w:t xml:space="preserve"> </w:t>
      </w:r>
      <w:proofErr w:type="spellStart"/>
      <w:r w:rsidRPr="002C49CB">
        <w:rPr>
          <w:rFonts w:ascii="Times New Roman" w:hAnsi="Times New Roman" w:cs="Times New Roman"/>
          <w:lang w:val="es-ES"/>
        </w:rPr>
        <w:t>Rahimli</w:t>
      </w:r>
      <w:proofErr w:type="spellEnd"/>
      <w:r w:rsidRPr="002C49CB">
        <w:rPr>
          <w:rFonts w:ascii="Times New Roman" w:hAnsi="Times New Roman" w:cs="Times New Roman"/>
          <w:lang w:val="es-ES"/>
        </w:rPr>
        <w:t xml:space="preserve"> Alekberli</w:t>
      </w:r>
      <w:r w:rsidRPr="002C49CB">
        <w:rPr>
          <w:rFonts w:ascii="Times New Roman" w:hAnsi="Times New Roman" w:cs="Times New Roman"/>
          <w:vertAlign w:val="superscript"/>
          <w:lang w:val="es-ES"/>
        </w:rPr>
        <w:t>1</w:t>
      </w:r>
      <w:r w:rsidRPr="002C49CB">
        <w:rPr>
          <w:rFonts w:ascii="Times New Roman" w:hAnsi="Times New Roman" w:cs="Times New Roman"/>
          <w:lang w:val="es-ES"/>
        </w:rPr>
        <w:t xml:space="preserve">, </w:t>
      </w:r>
      <w:proofErr w:type="spellStart"/>
      <w:r w:rsidRPr="002C49CB">
        <w:rPr>
          <w:rFonts w:ascii="Times New Roman" w:hAnsi="Times New Roman" w:cs="Times New Roman"/>
          <w:lang w:val="es-ES"/>
        </w:rPr>
        <w:t>Laila</w:t>
      </w:r>
      <w:proofErr w:type="spellEnd"/>
      <w:r w:rsidRPr="002C49CB">
        <w:rPr>
          <w:rFonts w:ascii="Times New Roman" w:hAnsi="Times New Roman" w:cs="Times New Roman"/>
          <w:lang w:val="es-ES"/>
        </w:rPr>
        <w:t xml:space="preserve"> Karra</w:t>
      </w:r>
      <w:r w:rsidRPr="002C49CB">
        <w:rPr>
          <w:rFonts w:ascii="Times New Roman" w:hAnsi="Times New Roman" w:cs="Times New Roman"/>
          <w:vertAlign w:val="superscript"/>
          <w:lang w:val="es-ES"/>
        </w:rPr>
        <w:t>1</w:t>
      </w:r>
      <w:r w:rsidRPr="002C49CB">
        <w:rPr>
          <w:rFonts w:ascii="Times New Roman" w:hAnsi="Times New Roman" w:cs="Times New Roman"/>
          <w:lang w:val="es-ES"/>
        </w:rPr>
        <w:t>, David Mankuta</w:t>
      </w:r>
      <w:r w:rsidRPr="002C49CB">
        <w:rPr>
          <w:rFonts w:ascii="Times New Roman" w:hAnsi="Times New Roman" w:cs="Times New Roman"/>
          <w:vertAlign w:val="superscript"/>
          <w:lang w:val="es-ES"/>
        </w:rPr>
        <w:t>2</w:t>
      </w:r>
      <w:r w:rsidRPr="002C49CB">
        <w:rPr>
          <w:rFonts w:ascii="Times New Roman" w:hAnsi="Times New Roman" w:cs="Times New Roman"/>
          <w:lang w:val="es-ES"/>
        </w:rPr>
        <w:t>, Micha Ben Zimra</w:t>
      </w:r>
      <w:r w:rsidRPr="002C49CB">
        <w:rPr>
          <w:rFonts w:ascii="Times New Roman" w:hAnsi="Times New Roman" w:cs="Times New Roman"/>
          <w:vertAlign w:val="superscript"/>
          <w:lang w:val="es-ES"/>
        </w:rPr>
        <w:t>1</w:t>
      </w:r>
      <w:r w:rsidRPr="002C49CB">
        <w:rPr>
          <w:rFonts w:ascii="Times New Roman" w:hAnsi="Times New Roman" w:cs="Times New Roman"/>
          <w:lang w:val="es-ES"/>
        </w:rPr>
        <w:t>,</w:t>
      </w:r>
      <w:r>
        <w:rPr>
          <w:rFonts w:ascii="Times New Roman" w:hAnsi="Times New Roman" w:cs="Times New Roman"/>
          <w:lang w:val="es-ES"/>
        </w:rPr>
        <w:t xml:space="preserve"> </w:t>
      </w:r>
      <w:r w:rsidRPr="002C49CB">
        <w:rPr>
          <w:rFonts w:ascii="Times New Roman" w:hAnsi="Times New Roman" w:cs="Times New Roman"/>
          <w:lang w:val="es-ES"/>
        </w:rPr>
        <w:t>Francesca Levi Schaffer</w:t>
      </w:r>
      <w:r w:rsidRPr="002C49CB">
        <w:rPr>
          <w:rFonts w:ascii="Times New Roman" w:hAnsi="Times New Roman" w:cs="Times New Roman"/>
          <w:vertAlign w:val="superscript"/>
          <w:lang w:val="es-ES"/>
        </w:rPr>
        <w:t>1</w:t>
      </w:r>
      <w:r w:rsidRPr="002C49CB">
        <w:rPr>
          <w:rFonts w:ascii="Times New Roman" w:hAnsi="Times New Roman" w:cs="Times New Roman"/>
          <w:lang w:val="es-ES"/>
        </w:rPr>
        <w:br/>
      </w:r>
      <w:r w:rsidRPr="002C49CB">
        <w:rPr>
          <w:rFonts w:ascii="Times New Roman" w:hAnsi="Times New Roman" w:cs="Times New Roman"/>
          <w:lang w:val="es-ES"/>
        </w:rPr>
        <w:t>Guar.Pratibha@mail.huji.ac.il</w:t>
      </w:r>
    </w:p>
    <w:p w:rsidR="002C49CB" w:rsidRPr="002C49CB" w:rsidRDefault="002C49CB" w:rsidP="002C49CB">
      <w:pPr>
        <w:jc w:val="both"/>
        <w:rPr>
          <w:rFonts w:ascii="Times New Roman" w:hAnsi="Times New Roman" w:cs="Times New Roman"/>
        </w:rPr>
      </w:pPr>
      <w:r w:rsidRPr="002C49CB">
        <w:rPr>
          <w:rFonts w:ascii="Times New Roman" w:hAnsi="Times New Roman" w:cs="Times New Roman"/>
          <w:vertAlign w:val="superscript"/>
        </w:rPr>
        <w:t>1</w:t>
      </w:r>
      <w:r w:rsidRPr="002C49CB">
        <w:rPr>
          <w:rFonts w:ascii="Times New Roman" w:hAnsi="Times New Roman" w:cs="Times New Roman"/>
        </w:rPr>
        <w:t xml:space="preserve">Pharmacology &amp; Experimental Therapeutics Unit, School of Pharmacy, Institute for Drug Research, Faculty of Medicine, Hebrew University of Jerusalem, Israel; </w:t>
      </w:r>
      <w:r w:rsidRPr="002C49CB">
        <w:rPr>
          <w:rFonts w:ascii="Times New Roman" w:hAnsi="Times New Roman" w:cs="Times New Roman"/>
          <w:vertAlign w:val="superscript"/>
        </w:rPr>
        <w:t>2</w:t>
      </w:r>
      <w:r w:rsidRPr="002C49CB">
        <w:rPr>
          <w:rFonts w:ascii="Times New Roman" w:hAnsi="Times New Roman" w:cs="Times New Roman"/>
        </w:rPr>
        <w:t xml:space="preserve">Department of Obstetrics and </w:t>
      </w:r>
      <w:proofErr w:type="spellStart"/>
      <w:r w:rsidRPr="002C49CB">
        <w:rPr>
          <w:rFonts w:ascii="Times New Roman" w:hAnsi="Times New Roman" w:cs="Times New Roman"/>
        </w:rPr>
        <w:t>Gynecology</w:t>
      </w:r>
      <w:proofErr w:type="spellEnd"/>
      <w:r w:rsidRPr="002C49CB">
        <w:rPr>
          <w:rFonts w:ascii="Times New Roman" w:hAnsi="Times New Roman" w:cs="Times New Roman"/>
        </w:rPr>
        <w:t>, Hadassah-Hebrew University Med</w:t>
      </w:r>
      <w:r>
        <w:rPr>
          <w:rFonts w:ascii="Times New Roman" w:hAnsi="Times New Roman" w:cs="Times New Roman"/>
        </w:rPr>
        <w:t xml:space="preserve">ical </w:t>
      </w:r>
      <w:proofErr w:type="spellStart"/>
      <w:r>
        <w:rPr>
          <w:rFonts w:ascii="Times New Roman" w:hAnsi="Times New Roman" w:cs="Times New Roman"/>
        </w:rPr>
        <w:t>Center</w:t>
      </w:r>
      <w:proofErr w:type="spellEnd"/>
      <w:r>
        <w:rPr>
          <w:rFonts w:ascii="Times New Roman" w:hAnsi="Times New Roman" w:cs="Times New Roman"/>
        </w:rPr>
        <w:t>, Jerusalem, Israel.</w:t>
      </w:r>
    </w:p>
    <w:p w:rsidR="002C49CB" w:rsidRPr="002C49CB" w:rsidRDefault="002C49CB" w:rsidP="002C49CB">
      <w:pPr>
        <w:jc w:val="both"/>
        <w:rPr>
          <w:rFonts w:ascii="Times New Roman" w:hAnsi="Times New Roman" w:cs="Times New Roman"/>
        </w:rPr>
      </w:pPr>
      <w:proofErr w:type="gramStart"/>
      <w:r w:rsidRPr="002C49CB">
        <w:rPr>
          <w:rFonts w:ascii="Times New Roman" w:hAnsi="Times New Roman" w:cs="Times New Roman"/>
        </w:rPr>
        <w:t>Background :-</w:t>
      </w:r>
      <w:proofErr w:type="gramEnd"/>
      <w:r w:rsidRPr="002C49CB">
        <w:rPr>
          <w:rFonts w:ascii="Times New Roman" w:hAnsi="Times New Roman" w:cs="Times New Roman"/>
        </w:rPr>
        <w:t xml:space="preserve"> </w:t>
      </w:r>
      <w:proofErr w:type="spellStart"/>
      <w:r w:rsidRPr="002C49CB">
        <w:rPr>
          <w:rFonts w:ascii="Times New Roman" w:hAnsi="Times New Roman" w:cs="Times New Roman"/>
        </w:rPr>
        <w:t>Glucocortitcosteroids</w:t>
      </w:r>
      <w:proofErr w:type="spellEnd"/>
      <w:r w:rsidRPr="002C49CB">
        <w:rPr>
          <w:rFonts w:ascii="Times New Roman" w:hAnsi="Times New Roman" w:cs="Times New Roman"/>
        </w:rPr>
        <w:t xml:space="preserve"> (GCs) are the most common agents used to control inflammation in allergic diseases. GCs elicit a series of side effects especially in long term treatment. Therefore, alternative treatments are needed. CD300a is an inhibitory receptor functionally displayed on both human and mouse mast cells (MCs).The possible interplay between GCs and inhibitory receptors such as CD300a has no</w:t>
      </w:r>
      <w:r>
        <w:rPr>
          <w:rFonts w:ascii="Times New Roman" w:hAnsi="Times New Roman" w:cs="Times New Roman"/>
        </w:rPr>
        <w:t>t yet been investigated on MCs.</w:t>
      </w:r>
    </w:p>
    <w:p w:rsidR="002C49CB" w:rsidRPr="002C49CB" w:rsidRDefault="002C49CB" w:rsidP="002C49CB">
      <w:pPr>
        <w:jc w:val="both"/>
        <w:rPr>
          <w:rFonts w:ascii="Times New Roman" w:hAnsi="Times New Roman" w:cs="Times New Roman"/>
        </w:rPr>
      </w:pPr>
      <w:proofErr w:type="gramStart"/>
      <w:r w:rsidRPr="002C49CB">
        <w:rPr>
          <w:rFonts w:ascii="Times New Roman" w:hAnsi="Times New Roman" w:cs="Times New Roman"/>
        </w:rPr>
        <w:t>Aim :-</w:t>
      </w:r>
      <w:proofErr w:type="gramEnd"/>
      <w:r w:rsidRPr="002C49CB">
        <w:rPr>
          <w:rFonts w:ascii="Times New Roman" w:hAnsi="Times New Roman" w:cs="Times New Roman"/>
        </w:rPr>
        <w:t xml:space="preserve"> We aimed to evaluate the combined effect of dexamethasone (</w:t>
      </w:r>
      <w:proofErr w:type="spellStart"/>
      <w:r w:rsidRPr="002C49CB">
        <w:rPr>
          <w:rFonts w:ascii="Times New Roman" w:hAnsi="Times New Roman" w:cs="Times New Roman"/>
        </w:rPr>
        <w:t>Dex</w:t>
      </w:r>
      <w:proofErr w:type="spellEnd"/>
      <w:r w:rsidRPr="002C49CB">
        <w:rPr>
          <w:rFonts w:ascii="Times New Roman" w:hAnsi="Times New Roman" w:cs="Times New Roman"/>
        </w:rPr>
        <w:t>) and CD300a on human and murine MCs functions and in anti-</w:t>
      </w:r>
      <w:proofErr w:type="spellStart"/>
      <w:r w:rsidRPr="002C49CB">
        <w:rPr>
          <w:rFonts w:ascii="Times New Roman" w:hAnsi="Times New Roman" w:cs="Times New Roman"/>
        </w:rPr>
        <w:t>I</w:t>
      </w:r>
      <w:r>
        <w:rPr>
          <w:rFonts w:ascii="Times New Roman" w:hAnsi="Times New Roman" w:cs="Times New Roman"/>
        </w:rPr>
        <w:t>gE</w:t>
      </w:r>
      <w:proofErr w:type="spellEnd"/>
      <w:r>
        <w:rPr>
          <w:rFonts w:ascii="Times New Roman" w:hAnsi="Times New Roman" w:cs="Times New Roman"/>
        </w:rPr>
        <w:t>-induced peritonitis in mice.</w:t>
      </w:r>
    </w:p>
    <w:p w:rsidR="002C49CB" w:rsidRPr="002C49CB" w:rsidRDefault="002C49CB" w:rsidP="002C49CB">
      <w:pPr>
        <w:jc w:val="both"/>
        <w:rPr>
          <w:rFonts w:ascii="Times New Roman" w:hAnsi="Times New Roman" w:cs="Times New Roman"/>
        </w:rPr>
      </w:pPr>
      <w:proofErr w:type="gramStart"/>
      <w:r w:rsidRPr="002C49CB">
        <w:rPr>
          <w:rFonts w:ascii="Times New Roman" w:hAnsi="Times New Roman" w:cs="Times New Roman"/>
        </w:rPr>
        <w:t>Methods :-</w:t>
      </w:r>
      <w:proofErr w:type="gramEnd"/>
      <w:r w:rsidRPr="002C49CB">
        <w:rPr>
          <w:rFonts w:ascii="Times New Roman" w:hAnsi="Times New Roman" w:cs="Times New Roman"/>
        </w:rPr>
        <w:t xml:space="preserve"> Cord blood derived MCs (CBMCs)/ bone marrow derived MCs (BMMCs) were incubated with </w:t>
      </w:r>
      <w:proofErr w:type="spellStart"/>
      <w:r w:rsidRPr="002C49CB">
        <w:rPr>
          <w:rFonts w:ascii="Times New Roman" w:hAnsi="Times New Roman" w:cs="Times New Roman"/>
        </w:rPr>
        <w:t>Dex</w:t>
      </w:r>
      <w:proofErr w:type="spellEnd"/>
      <w:r w:rsidRPr="002C49CB">
        <w:rPr>
          <w:rFonts w:ascii="Times New Roman" w:hAnsi="Times New Roman" w:cs="Times New Roman"/>
        </w:rPr>
        <w:t xml:space="preserve"> and anti-CD300a (activated by an anti-CD300a </w:t>
      </w:r>
      <w:proofErr w:type="spellStart"/>
      <w:r w:rsidRPr="002C49CB">
        <w:rPr>
          <w:rFonts w:ascii="Times New Roman" w:hAnsi="Times New Roman" w:cs="Times New Roman"/>
        </w:rPr>
        <w:t>mAbs</w:t>
      </w:r>
      <w:proofErr w:type="spellEnd"/>
      <w:r w:rsidRPr="002C49CB">
        <w:rPr>
          <w:rFonts w:ascii="Times New Roman" w:hAnsi="Times New Roman" w:cs="Times New Roman"/>
        </w:rPr>
        <w:t xml:space="preserve">) followed by activation via </w:t>
      </w:r>
      <w:proofErr w:type="spellStart"/>
      <w:r w:rsidRPr="002C49CB">
        <w:rPr>
          <w:rFonts w:ascii="Times New Roman" w:hAnsi="Times New Roman" w:cs="Times New Roman"/>
        </w:rPr>
        <w:t>IgE</w:t>
      </w:r>
      <w:proofErr w:type="spellEnd"/>
      <w:r w:rsidRPr="002C49CB">
        <w:rPr>
          <w:rFonts w:ascii="Times New Roman" w:hAnsi="Times New Roman" w:cs="Times New Roman"/>
        </w:rPr>
        <w:t>-mediated activation. MCs mediator and cytokine release were assessed. Mice were injected subcutaneously with vehicle/</w:t>
      </w:r>
      <w:proofErr w:type="spellStart"/>
      <w:r w:rsidRPr="002C49CB">
        <w:rPr>
          <w:rFonts w:ascii="Times New Roman" w:hAnsi="Times New Roman" w:cs="Times New Roman"/>
        </w:rPr>
        <w:t>Dex</w:t>
      </w:r>
      <w:proofErr w:type="spellEnd"/>
      <w:r w:rsidRPr="002C49CB">
        <w:rPr>
          <w:rFonts w:ascii="Times New Roman" w:hAnsi="Times New Roman" w:cs="Times New Roman"/>
        </w:rPr>
        <w:t xml:space="preserve"> for 1 </w:t>
      </w:r>
      <w:proofErr w:type="spellStart"/>
      <w:r w:rsidRPr="002C49CB">
        <w:rPr>
          <w:rFonts w:ascii="Times New Roman" w:hAnsi="Times New Roman" w:cs="Times New Roman"/>
        </w:rPr>
        <w:t>hr</w:t>
      </w:r>
      <w:proofErr w:type="spellEnd"/>
      <w:r w:rsidRPr="002C49CB">
        <w:rPr>
          <w:rFonts w:ascii="Times New Roman" w:hAnsi="Times New Roman" w:cs="Times New Roman"/>
        </w:rPr>
        <w:t xml:space="preserve"> followed by </w:t>
      </w:r>
      <w:proofErr w:type="spellStart"/>
      <w:r w:rsidRPr="002C49CB">
        <w:rPr>
          <w:rFonts w:ascii="Times New Roman" w:hAnsi="Times New Roman" w:cs="Times New Roman"/>
        </w:rPr>
        <w:t>i.p</w:t>
      </w:r>
      <w:proofErr w:type="spellEnd"/>
      <w:r w:rsidRPr="002C49CB">
        <w:rPr>
          <w:rFonts w:ascii="Times New Roman" w:hAnsi="Times New Roman" w:cs="Times New Roman"/>
        </w:rPr>
        <w:t xml:space="preserve">. injection with anti-CD300a/IgG2b. After 40 </w:t>
      </w:r>
      <w:proofErr w:type="spellStart"/>
      <w:r w:rsidRPr="002C49CB">
        <w:rPr>
          <w:rFonts w:ascii="Times New Roman" w:hAnsi="Times New Roman" w:cs="Times New Roman"/>
        </w:rPr>
        <w:t>mins</w:t>
      </w:r>
      <w:proofErr w:type="spellEnd"/>
      <w:r w:rsidRPr="002C49CB">
        <w:rPr>
          <w:rFonts w:ascii="Times New Roman" w:hAnsi="Times New Roman" w:cs="Times New Roman"/>
        </w:rPr>
        <w:t>, anti-</w:t>
      </w:r>
      <w:proofErr w:type="spellStart"/>
      <w:r w:rsidRPr="002C49CB">
        <w:rPr>
          <w:rFonts w:ascii="Times New Roman" w:hAnsi="Times New Roman" w:cs="Times New Roman"/>
        </w:rPr>
        <w:t>IgE</w:t>
      </w:r>
      <w:proofErr w:type="spellEnd"/>
      <w:r w:rsidRPr="002C49CB">
        <w:rPr>
          <w:rFonts w:ascii="Times New Roman" w:hAnsi="Times New Roman" w:cs="Times New Roman"/>
        </w:rPr>
        <w:t xml:space="preserve"> Abs were injected </w:t>
      </w:r>
      <w:proofErr w:type="spellStart"/>
      <w:r w:rsidRPr="002C49CB">
        <w:rPr>
          <w:rFonts w:ascii="Times New Roman" w:hAnsi="Times New Roman" w:cs="Times New Roman"/>
        </w:rPr>
        <w:t>i.p</w:t>
      </w:r>
      <w:proofErr w:type="spellEnd"/>
      <w:r w:rsidRPr="002C49CB">
        <w:rPr>
          <w:rFonts w:ascii="Times New Roman" w:hAnsi="Times New Roman" w:cs="Times New Roman"/>
        </w:rPr>
        <w:t xml:space="preserve">. for activation of peritoneal MCs. Mice were euthanized after 30 </w:t>
      </w:r>
      <w:proofErr w:type="spellStart"/>
      <w:r w:rsidRPr="002C49CB">
        <w:rPr>
          <w:rFonts w:ascii="Times New Roman" w:hAnsi="Times New Roman" w:cs="Times New Roman"/>
        </w:rPr>
        <w:t>mins</w:t>
      </w:r>
      <w:proofErr w:type="spellEnd"/>
      <w:r w:rsidRPr="002C49CB">
        <w:rPr>
          <w:rFonts w:ascii="Times New Roman" w:hAnsi="Times New Roman" w:cs="Times New Roman"/>
        </w:rPr>
        <w:t xml:space="preserve"> and inflammation parameters were analysed</w:t>
      </w:r>
      <w:r>
        <w:rPr>
          <w:rFonts w:ascii="Times New Roman" w:hAnsi="Times New Roman" w:cs="Times New Roman"/>
        </w:rPr>
        <w:t>.</w:t>
      </w:r>
    </w:p>
    <w:p w:rsidR="002C49CB" w:rsidRPr="002C49CB" w:rsidRDefault="002C49CB" w:rsidP="002C49CB">
      <w:pPr>
        <w:jc w:val="both"/>
        <w:rPr>
          <w:rFonts w:ascii="Times New Roman" w:hAnsi="Times New Roman" w:cs="Times New Roman"/>
        </w:rPr>
      </w:pPr>
      <w:proofErr w:type="gramStart"/>
      <w:r w:rsidRPr="002C49CB">
        <w:rPr>
          <w:rFonts w:ascii="Times New Roman" w:hAnsi="Times New Roman" w:cs="Times New Roman"/>
        </w:rPr>
        <w:t>Results :-</w:t>
      </w:r>
      <w:proofErr w:type="gramEnd"/>
      <w:r w:rsidRPr="002C49CB">
        <w:rPr>
          <w:rFonts w:ascii="Times New Roman" w:hAnsi="Times New Roman" w:cs="Times New Roman"/>
        </w:rPr>
        <w:t xml:space="preserve"> In CBMCs/BMMCs, the combined treatment of </w:t>
      </w:r>
      <w:proofErr w:type="spellStart"/>
      <w:r w:rsidRPr="002C49CB">
        <w:rPr>
          <w:rFonts w:ascii="Times New Roman" w:hAnsi="Times New Roman" w:cs="Times New Roman"/>
        </w:rPr>
        <w:t>Dex</w:t>
      </w:r>
      <w:proofErr w:type="spellEnd"/>
      <w:r w:rsidRPr="002C49CB">
        <w:rPr>
          <w:rFonts w:ascii="Times New Roman" w:hAnsi="Times New Roman" w:cs="Times New Roman"/>
        </w:rPr>
        <w:t xml:space="preserve"> with anti-CD300a significantly reduced release of pro-inflammatory cytokines compared to their mono-treatments. Additionally, in </w:t>
      </w:r>
      <w:proofErr w:type="spellStart"/>
      <w:r w:rsidRPr="002C49CB">
        <w:rPr>
          <w:rFonts w:ascii="Times New Roman" w:hAnsi="Times New Roman" w:cs="Times New Roman"/>
        </w:rPr>
        <w:t>IgE</w:t>
      </w:r>
      <w:proofErr w:type="spellEnd"/>
      <w:r w:rsidRPr="002C49CB">
        <w:rPr>
          <w:rFonts w:ascii="Times New Roman" w:hAnsi="Times New Roman" w:cs="Times New Roman"/>
        </w:rPr>
        <w:t>-sensitized and challenged BMMCs, the combined treatment led to a slight but significant inhibition of β-</w:t>
      </w:r>
      <w:proofErr w:type="spellStart"/>
      <w:r w:rsidRPr="002C49CB">
        <w:rPr>
          <w:rFonts w:ascii="Times New Roman" w:hAnsi="Times New Roman" w:cs="Times New Roman"/>
        </w:rPr>
        <w:t>hexosaminidase</w:t>
      </w:r>
      <w:proofErr w:type="spellEnd"/>
      <w:r w:rsidRPr="002C49CB">
        <w:rPr>
          <w:rFonts w:ascii="Times New Roman" w:hAnsi="Times New Roman" w:cs="Times New Roman"/>
        </w:rPr>
        <w:t xml:space="preserve"> release. Further, we demonstrated a significant decrease in </w:t>
      </w:r>
      <w:proofErr w:type="spellStart"/>
      <w:r w:rsidRPr="002C49CB">
        <w:rPr>
          <w:rFonts w:ascii="Times New Roman" w:hAnsi="Times New Roman" w:cs="Times New Roman"/>
        </w:rPr>
        <w:t>tryptase</w:t>
      </w:r>
      <w:proofErr w:type="spellEnd"/>
      <w:r w:rsidRPr="002C49CB">
        <w:rPr>
          <w:rFonts w:ascii="Times New Roman" w:hAnsi="Times New Roman" w:cs="Times New Roman"/>
        </w:rPr>
        <w:t xml:space="preserve"> release in the anti-</w:t>
      </w:r>
      <w:proofErr w:type="spellStart"/>
      <w:r w:rsidRPr="002C49CB">
        <w:rPr>
          <w:rFonts w:ascii="Times New Roman" w:hAnsi="Times New Roman" w:cs="Times New Roman"/>
        </w:rPr>
        <w:t>IgE</w:t>
      </w:r>
      <w:proofErr w:type="spellEnd"/>
      <w:r w:rsidRPr="002C49CB">
        <w:rPr>
          <w:rFonts w:ascii="Times New Roman" w:hAnsi="Times New Roman" w:cs="Times New Roman"/>
        </w:rPr>
        <w:t xml:space="preserve"> induced peritonitis model. TNF-α levels were reduced, although not significantly. Finally, </w:t>
      </w:r>
      <w:proofErr w:type="spellStart"/>
      <w:r w:rsidRPr="002C49CB">
        <w:rPr>
          <w:rFonts w:ascii="Times New Roman" w:hAnsi="Times New Roman" w:cs="Times New Roman"/>
        </w:rPr>
        <w:t>Giemsa</w:t>
      </w:r>
      <w:proofErr w:type="spellEnd"/>
      <w:r w:rsidRPr="002C49CB">
        <w:rPr>
          <w:rFonts w:ascii="Times New Roman" w:hAnsi="Times New Roman" w:cs="Times New Roman"/>
        </w:rPr>
        <w:t xml:space="preserve"> staining confirmed the biochemical analysis, showing a significant reduction in numbers of de-granulated MCs</w:t>
      </w:r>
      <w:r>
        <w:rPr>
          <w:rFonts w:ascii="Times New Roman" w:hAnsi="Times New Roman" w:cs="Times New Roman"/>
        </w:rPr>
        <w:t xml:space="preserve"> in the combined treated group.</w:t>
      </w:r>
    </w:p>
    <w:p w:rsidR="002C49CB" w:rsidRPr="002C49CB" w:rsidRDefault="002C49CB" w:rsidP="002C49CB">
      <w:pPr>
        <w:jc w:val="both"/>
        <w:rPr>
          <w:rFonts w:ascii="Times New Roman" w:hAnsi="Times New Roman" w:cs="Times New Roman"/>
        </w:rPr>
      </w:pPr>
      <w:proofErr w:type="gramStart"/>
      <w:r w:rsidRPr="002C49CB">
        <w:rPr>
          <w:rFonts w:ascii="Times New Roman" w:hAnsi="Times New Roman" w:cs="Times New Roman"/>
        </w:rPr>
        <w:t>Conclusion :-</w:t>
      </w:r>
      <w:proofErr w:type="gramEnd"/>
      <w:r w:rsidRPr="002C49CB">
        <w:rPr>
          <w:rFonts w:ascii="Times New Roman" w:hAnsi="Times New Roman" w:cs="Times New Roman"/>
        </w:rPr>
        <w:t xml:space="preserve"> Our results suggest that </w:t>
      </w:r>
      <w:proofErr w:type="spellStart"/>
      <w:r w:rsidRPr="002C49CB">
        <w:rPr>
          <w:rFonts w:ascii="Times New Roman" w:hAnsi="Times New Roman" w:cs="Times New Roman"/>
        </w:rPr>
        <w:t>Dex</w:t>
      </w:r>
      <w:proofErr w:type="spellEnd"/>
      <w:r w:rsidRPr="002C49CB">
        <w:rPr>
          <w:rFonts w:ascii="Times New Roman" w:hAnsi="Times New Roman" w:cs="Times New Roman"/>
        </w:rPr>
        <w:t xml:space="preserve"> and anti-CD300a combined treatment might have clinical relevance in terms of GCs sparing.</w:t>
      </w:r>
    </w:p>
    <w:p w:rsidR="00E860F9" w:rsidRPr="002C49CB" w:rsidRDefault="00E860F9" w:rsidP="002C49CB">
      <w:pPr>
        <w:jc w:val="both"/>
        <w:rPr>
          <w:rFonts w:ascii="Times New Roman" w:hAnsi="Times New Roman" w:cs="Times New Roman"/>
        </w:rPr>
      </w:pPr>
    </w:p>
    <w:sectPr w:rsidR="00E860F9" w:rsidRPr="002C49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9CB"/>
    <w:rsid w:val="002C49CB"/>
    <w:rsid w:val="00E860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327954">
      <w:bodyDiv w:val="1"/>
      <w:marLeft w:val="0"/>
      <w:marRight w:val="0"/>
      <w:marTop w:val="0"/>
      <w:marBottom w:val="0"/>
      <w:divBdr>
        <w:top w:val="none" w:sz="0" w:space="0" w:color="auto"/>
        <w:left w:val="none" w:sz="0" w:space="0" w:color="auto"/>
        <w:bottom w:val="none" w:sz="0" w:space="0" w:color="auto"/>
        <w:right w:val="none" w:sz="0" w:space="0" w:color="auto"/>
      </w:divBdr>
      <w:divsChild>
        <w:div w:id="1770078494">
          <w:marLeft w:val="0"/>
          <w:marRight w:val="0"/>
          <w:marTop w:val="0"/>
          <w:marBottom w:val="0"/>
          <w:divBdr>
            <w:top w:val="none" w:sz="0" w:space="0" w:color="auto"/>
            <w:left w:val="none" w:sz="0" w:space="0" w:color="auto"/>
            <w:bottom w:val="none" w:sz="0" w:space="0" w:color="auto"/>
            <w:right w:val="none" w:sz="0" w:space="0" w:color="auto"/>
          </w:divBdr>
          <w:divsChild>
            <w:div w:id="242642724">
              <w:marLeft w:val="0"/>
              <w:marRight w:val="0"/>
              <w:marTop w:val="0"/>
              <w:marBottom w:val="0"/>
              <w:divBdr>
                <w:top w:val="none" w:sz="0" w:space="0" w:color="auto"/>
                <w:left w:val="none" w:sz="0" w:space="0" w:color="auto"/>
                <w:bottom w:val="none" w:sz="0" w:space="0" w:color="auto"/>
                <w:right w:val="none" w:sz="0" w:space="0" w:color="auto"/>
              </w:divBdr>
              <w:divsChild>
                <w:div w:id="1416973124">
                  <w:marLeft w:val="0"/>
                  <w:marRight w:val="0"/>
                  <w:marTop w:val="0"/>
                  <w:marBottom w:val="0"/>
                  <w:divBdr>
                    <w:top w:val="none" w:sz="0" w:space="0" w:color="auto"/>
                    <w:left w:val="none" w:sz="0" w:space="0" w:color="auto"/>
                    <w:bottom w:val="none" w:sz="0" w:space="0" w:color="auto"/>
                    <w:right w:val="none" w:sz="0" w:space="0" w:color="auto"/>
                  </w:divBdr>
                  <w:divsChild>
                    <w:div w:id="151522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361</Words>
  <Characters>2060</Characters>
  <Application>Microsoft Office Word</Application>
  <DocSecurity>0</DocSecurity>
  <Lines>17</Lines>
  <Paragraphs>4</Paragraphs>
  <ScaleCrop>false</ScaleCrop>
  <Company>Microsoft</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2022-09-26T02:49:00Z</dcterms:created>
  <dcterms:modified xsi:type="dcterms:W3CDTF">2022-09-26T02:59:00Z</dcterms:modified>
</cp:coreProperties>
</file>