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header1.xml" ContentType="application/vnd.openxmlformats-officedocument.wordprocessingml.header+xml"/>
  <Override PartName="/word/footer1.xml" ContentType="application/vnd.openxmlformats-officedocument.wordprocessingml.footer+xml"/>
  <Default Extension="png" ContentType="image/png"/>
  <Default Extension="jpeg" ContentType="image/jpeg"/>
  <Override PartName="/docProps/custom.xml" ContentType="application/vnd.openxmlformats-officedocument.custom-properties+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body>
    <w:p>
      <w:pPr>
        <w:pStyle w:val="BodyText"/>
      </w:pPr>
    </w:p>
    <w:p>
      <w:pPr>
        <w:pStyle w:val="BodyText"/>
      </w:pPr>
    </w:p>
    <w:p>
      <w:pPr>
        <w:pStyle w:val="BodyText"/>
        <w:spacing w:before="10"/>
        <w:rPr>
          <w:sz w:val="19"/>
        </w:rPr>
      </w:pPr>
    </w:p>
    <w:p>
      <w:pPr>
        <w:pStyle w:val="Heading1"/>
        <w:spacing w:before="87"/>
      </w:pPr>
      <w:r>
        <w:rPr>
          <w:color w:val="C00000"/>
        </w:rPr>
        <w:t>Title:</w:t>
      </w:r>
    </w:p>
    <w:p>
      <w:pPr>
        <w:spacing w:line="321" w:lineRule="exact" w:before="42"/>
        <w:ind w:left="131" w:right="0" w:firstLine="0"/>
        <w:jc w:val="left"/>
        <w:rPr>
          <w:b/>
          <w:sz w:val="28"/>
        </w:rPr>
      </w:pPr>
      <w:r>
        <w:rPr>
          <w:b/>
          <w:color w:val="365F91"/>
          <w:sz w:val="28"/>
        </w:rPr>
        <w:t>Long-term buprenorphine treatment for kratom use disorder: a case series</w:t>
      </w:r>
    </w:p>
    <w:p>
      <w:pPr>
        <w:pStyle w:val="BodyText"/>
        <w:ind w:left="231" w:right="3163"/>
      </w:pPr>
      <w:r>
        <w:rPr/>
        <w:t>Viktoriya R. Broyan, MS, Ideal Option, PLLC, Pasco, Washington, USA Jeffrey T. Allgaier, MD, Ideal Option, PLLC, Pasco, Washington, USA</w:t>
      </w:r>
    </w:p>
    <w:p>
      <w:pPr>
        <w:pStyle w:val="BodyText"/>
        <w:spacing w:before="4"/>
        <w:rPr>
          <w:sz w:val="29"/>
        </w:rPr>
      </w:pPr>
    </w:p>
    <w:p>
      <w:pPr>
        <w:pStyle w:val="Heading2"/>
        <w:ind w:left="116"/>
      </w:pPr>
      <w:r>
        <w:rPr>
          <w:color w:val="C00000"/>
        </w:rPr>
        <w:t>Abstract</w:t>
      </w:r>
    </w:p>
    <w:p>
      <w:pPr>
        <w:pStyle w:val="BodyText"/>
        <w:spacing w:before="3"/>
        <w:rPr>
          <w:rFonts w:ascii="Georgia"/>
          <w:b/>
          <w:sz w:val="26"/>
        </w:rPr>
      </w:pPr>
    </w:p>
    <w:p>
      <w:pPr>
        <w:pStyle w:val="BodyText"/>
        <w:spacing w:line="242" w:lineRule="auto"/>
        <w:ind w:left="131" w:right="110"/>
      </w:pPr>
      <w:r>
        <w:rPr>
          <w:color w:val="211E1E"/>
        </w:rPr>
        <w:t>Background: Opioid agonist therapy with buprenorphine is an effective, evidence-based treatment for opioid use disorder. However, there has been increasing use of alternative substances which can still produce opioid-like effects. One of these substances is the herbal supplement kratom. The chemical composition of kratom, specifically mitragynine and 7-hydroxymitragynine, has partial mu- opioid receptor agonist and antagonist effects at the kappa- and delta-opioid receptors. Due to its addictive potential, accessibility, and legal status, there have been increasing cases of kratom use disorder (KUD). Thus, it is important to consider effective treatment options for this nontraditional substance.</w:t>
      </w:r>
    </w:p>
    <w:p>
      <w:pPr>
        <w:pStyle w:val="BodyText"/>
        <w:spacing w:before="5"/>
        <w:rPr>
          <w:sz w:val="23"/>
        </w:rPr>
      </w:pPr>
    </w:p>
    <w:p>
      <w:pPr>
        <w:pStyle w:val="BodyText"/>
        <w:spacing w:line="242" w:lineRule="auto" w:before="1"/>
        <w:ind w:left="131" w:right="102"/>
      </w:pPr>
      <w:r>
        <w:rPr>
          <w:color w:val="211E1E"/>
        </w:rPr>
        <w:t>Methods: Twenty-eight patients self-identified kratom as their primary substance of use. Length of kratom use ranged between 1 month and 25 years, with an average daily kratom dose of 92 g/d. Nine patients were inducted on a buprenorphine/naloxone dose between 1 and 6 mg, 18 patients between 8 and 16 mg, and 1 patient at 20 mg. Three patients were stabilized on a dose at 4 mg, 23 patients between 8 and 16 mg, 1 patient at 18 mg, and 1 patient at 20 mg.</w:t>
      </w:r>
    </w:p>
    <w:p>
      <w:pPr>
        <w:pStyle w:val="BodyText"/>
        <w:spacing w:before="9"/>
        <w:rPr>
          <w:sz w:val="23"/>
        </w:rPr>
      </w:pPr>
    </w:p>
    <w:p>
      <w:pPr>
        <w:pStyle w:val="BodyText"/>
        <w:spacing w:line="242" w:lineRule="auto"/>
        <w:ind w:left="131" w:right="399"/>
      </w:pPr>
      <w:r>
        <w:rPr>
          <w:color w:val="211E1E"/>
        </w:rPr>
        <w:t>Results: There was no correlation between stabilizing dose of buprenorphine/naloxone and past daily dose of kratom. As of March 2020, 20 of the 28 patients were still receiving outpatient buprenorphine/naloxone treatment. Six patients were lost to follow-up due to missed appointments, 1 tapered down to 0.25 mg of buprenorphine/naloxone and self-discharged, and 1 moved out of town. The rest have remained in treatment from 5 to 22 months, with an average duration of 11 months. Of the 28 patients, 68%, 82%, and 82% had negative test results for mitragynine at 4, 8, and 12 weeks of treatment, respectively.</w:t>
      </w:r>
    </w:p>
    <w:p>
      <w:pPr>
        <w:pStyle w:val="BodyText"/>
        <w:rPr>
          <w:sz w:val="25"/>
        </w:rPr>
      </w:pPr>
    </w:p>
    <w:p>
      <w:pPr>
        <w:pStyle w:val="Heading2"/>
      </w:pPr>
      <w:r>
        <w:rPr>
          <w:color w:val="C00000"/>
        </w:rPr>
        <w:t>Importance of Research</w:t>
      </w:r>
    </w:p>
    <w:p>
      <w:pPr>
        <w:pStyle w:val="BodyText"/>
        <w:spacing w:before="2"/>
        <w:rPr>
          <w:rFonts w:ascii="Georgia"/>
          <w:b/>
          <w:sz w:val="24"/>
        </w:rPr>
      </w:pPr>
    </w:p>
    <w:p>
      <w:pPr>
        <w:pStyle w:val="BodyText"/>
        <w:spacing w:line="242" w:lineRule="auto"/>
        <w:ind w:left="131" w:right="221"/>
      </w:pPr>
      <w:r>
        <w:rPr>
          <w:color w:val="211E1E"/>
        </w:rPr>
        <w:t>As the use of non-traditional opioids increases, it is important to understand effective treatment options. To our knowledge, this is the largest case series to explore buprenorphine/naloxone treatment for kratom use disorder. Our findings suggest buprenorphine/naloxone can be used as an effective treatment option for KUD. This research can provide guidance for future studies to build upon and can help shape clinical practice as well.</w:t>
      </w:r>
    </w:p>
    <w:p>
      <w:pPr>
        <w:pStyle w:val="BodyText"/>
        <w:spacing w:before="3"/>
        <w:rPr>
          <w:sz w:val="25"/>
        </w:rPr>
      </w:pPr>
    </w:p>
    <w:p>
      <w:pPr>
        <w:pStyle w:val="Heading2"/>
      </w:pPr>
      <w:r>
        <w:rPr>
          <w:color w:val="C00000"/>
          <w:w w:val="95"/>
        </w:rPr>
        <w:t>Information of Institute</w:t>
      </w:r>
    </w:p>
    <w:p>
      <w:pPr>
        <w:pStyle w:val="BodyText"/>
        <w:spacing w:before="2"/>
        <w:rPr>
          <w:rFonts w:ascii="Georgia"/>
          <w:b/>
          <w:sz w:val="24"/>
        </w:rPr>
      </w:pPr>
    </w:p>
    <w:p>
      <w:pPr>
        <w:pStyle w:val="BodyText"/>
        <w:ind w:left="131" w:right="238"/>
      </w:pPr>
      <w:r>
        <w:rPr>
          <w:color w:val="211E1E"/>
        </w:rPr>
        <w:t>With 70 clinics in 10 states, Ideal Option is one of the United States’ largest outpatient providers of evidence- based medication-assisted treatment for addiction to opioids, alcohol, methamphetamine, and other substances. Founded in 2012 by two emergency medicine physicians, Ideal Option’s mission is to provide underserved populations with low-barrier access to evidence-based addiction treatment – saving lives, healing families, and helping communities.</w:t>
      </w:r>
    </w:p>
    <w:p>
      <w:pPr>
        <w:pStyle w:val="BodyText"/>
        <w:spacing w:before="1"/>
        <w:rPr>
          <w:sz w:val="19"/>
        </w:rPr>
      </w:pPr>
      <w:r>
        <w:rPr/>
        <w:drawing>
          <wp:anchor distT="0" distB="0" distL="0" distR="0" allowOverlap="1" layoutInCell="1" locked="0" behindDoc="0" simplePos="0" relativeHeight="0">
            <wp:simplePos x="0" y="0"/>
            <wp:positionH relativeFrom="page">
              <wp:posOffset>933499</wp:posOffset>
            </wp:positionH>
            <wp:positionV relativeFrom="paragraph">
              <wp:posOffset>164284</wp:posOffset>
            </wp:positionV>
            <wp:extent cx="1439659" cy="281939"/>
            <wp:effectExtent l="0" t="0" r="0" b="0"/>
            <wp:wrapTopAndBottom/>
            <wp:docPr id="1" name="image1.png"/>
            <wp:cNvGraphicFramePr>
              <a:graphicFrameLocks noChangeAspect="1"/>
            </wp:cNvGraphicFramePr>
            <a:graphic>
              <a:graphicData uri="http://schemas.openxmlformats.org/drawingml/2006/picture">
                <pic:pic>
                  <pic:nvPicPr>
                    <pic:cNvPr id="2" name="image1.png"/>
                    <pic:cNvPicPr/>
                  </pic:nvPicPr>
                  <pic:blipFill>
                    <a:blip r:embed="rId7" cstate="print"/>
                    <a:stretch>
                      <a:fillRect/>
                    </a:stretch>
                  </pic:blipFill>
                  <pic:spPr>
                    <a:xfrm>
                      <a:off x="0" y="0"/>
                      <a:ext cx="1439659" cy="281939"/>
                    </a:xfrm>
                    <a:prstGeom prst="rect">
                      <a:avLst/>
                    </a:prstGeom>
                  </pic:spPr>
                </pic:pic>
              </a:graphicData>
            </a:graphic>
          </wp:anchor>
        </w:drawing>
      </w:r>
    </w:p>
    <w:p>
      <w:pPr>
        <w:spacing w:after="0"/>
        <w:rPr>
          <w:sz w:val="19"/>
        </w:rPr>
        <w:sectPr>
          <w:headerReference w:type="default" r:id="rId5"/>
          <w:footerReference w:type="default" r:id="rId6"/>
          <w:type w:val="continuous"/>
          <w:pgSz w:w="11910" w:h="16840"/>
          <w:pgMar w:header="82" w:footer="780" w:top="2060" w:bottom="960" w:left="1320" w:right="1320"/>
        </w:sectPr>
      </w:pPr>
    </w:p>
    <w:p>
      <w:pPr>
        <w:pStyle w:val="BodyText"/>
      </w:pPr>
    </w:p>
    <w:p>
      <w:pPr>
        <w:pStyle w:val="BodyText"/>
        <w:spacing w:before="4"/>
      </w:pPr>
    </w:p>
    <w:p>
      <w:pPr>
        <w:spacing w:after="0"/>
        <w:sectPr>
          <w:pgSz w:w="11910" w:h="16840"/>
          <w:pgMar w:header="82" w:footer="780" w:top="2060" w:bottom="960" w:left="1320" w:right="1320"/>
        </w:sectPr>
      </w:pPr>
    </w:p>
    <w:p>
      <w:pPr>
        <w:pStyle w:val="Heading2"/>
        <w:spacing w:before="109"/>
      </w:pPr>
      <w:r>
        <w:rPr>
          <w:color w:val="C00000"/>
        </w:rPr>
        <w:t>Biography</w:t>
      </w:r>
    </w:p>
    <w:p>
      <w:pPr>
        <w:pStyle w:val="BodyText"/>
        <w:spacing w:before="2"/>
        <w:rPr>
          <w:rFonts w:ascii="Georgia"/>
          <w:b/>
          <w:sz w:val="10"/>
        </w:rPr>
      </w:pPr>
    </w:p>
    <w:p>
      <w:pPr>
        <w:pStyle w:val="BodyText"/>
        <w:ind w:left="196" w:right="-58"/>
        <w:rPr>
          <w:rFonts w:ascii="Georgia"/>
        </w:rPr>
      </w:pPr>
      <w:r>
        <w:rPr>
          <w:rFonts w:ascii="Georgia"/>
        </w:rPr>
        <w:drawing>
          <wp:inline distT="0" distB="0" distL="0" distR="0">
            <wp:extent cx="1013852" cy="1433322"/>
            <wp:effectExtent l="0" t="0" r="0" b="0"/>
            <wp:docPr id="3" name="image2.jpeg"/>
            <wp:cNvGraphicFramePr>
              <a:graphicFrameLocks noChangeAspect="1"/>
            </wp:cNvGraphicFramePr>
            <a:graphic>
              <a:graphicData uri="http://schemas.openxmlformats.org/drawingml/2006/picture">
                <pic:pic>
                  <pic:nvPicPr>
                    <pic:cNvPr id="4" name="image2.jpeg"/>
                    <pic:cNvPicPr/>
                  </pic:nvPicPr>
                  <pic:blipFill>
                    <a:blip r:embed="rId8" cstate="print"/>
                    <a:stretch>
                      <a:fillRect/>
                    </a:stretch>
                  </pic:blipFill>
                  <pic:spPr>
                    <a:xfrm>
                      <a:off x="0" y="0"/>
                      <a:ext cx="1013852" cy="1433322"/>
                    </a:xfrm>
                    <a:prstGeom prst="rect">
                      <a:avLst/>
                    </a:prstGeom>
                  </pic:spPr>
                </pic:pic>
              </a:graphicData>
            </a:graphic>
          </wp:inline>
        </w:drawing>
      </w:r>
      <w:r>
        <w:rPr>
          <w:rFonts w:ascii="Georgia"/>
        </w:rPr>
      </w:r>
    </w:p>
    <w:p>
      <w:pPr>
        <w:spacing w:before="167"/>
        <w:ind w:left="116" w:right="0" w:firstLine="0"/>
        <w:jc w:val="left"/>
        <w:rPr>
          <w:rFonts w:ascii="Georgia"/>
          <w:b/>
          <w:sz w:val="26"/>
        </w:rPr>
      </w:pPr>
      <w:r>
        <w:rPr>
          <w:rFonts w:ascii="Georgia"/>
          <w:b/>
          <w:color w:val="C00000"/>
          <w:sz w:val="26"/>
        </w:rPr>
        <w:t>References</w:t>
      </w:r>
    </w:p>
    <w:p>
      <w:pPr>
        <w:pStyle w:val="BodyText"/>
        <w:rPr>
          <w:rFonts w:ascii="Georgia"/>
          <w:b/>
        </w:rPr>
      </w:pPr>
      <w:r>
        <w:rPr/>
        <w:br w:type="column"/>
      </w:r>
      <w:r>
        <w:rPr>
          <w:rFonts w:ascii="Georgia"/>
          <w:b/>
        </w:rPr>
      </w:r>
    </w:p>
    <w:p>
      <w:pPr>
        <w:pStyle w:val="BodyText"/>
        <w:rPr>
          <w:rFonts w:ascii="Georgia"/>
          <w:b/>
        </w:rPr>
      </w:pPr>
    </w:p>
    <w:p>
      <w:pPr>
        <w:pStyle w:val="BodyText"/>
        <w:spacing w:before="3"/>
        <w:rPr>
          <w:rFonts w:ascii="Georgia"/>
          <w:b/>
          <w:sz w:val="22"/>
        </w:rPr>
      </w:pPr>
    </w:p>
    <w:p>
      <w:pPr>
        <w:pStyle w:val="BodyText"/>
        <w:ind w:left="116"/>
      </w:pPr>
      <w:r>
        <w:rPr>
          <w:color w:val="211E1E"/>
        </w:rPr>
        <w:t>Viktoriya Broyan studied at Central Washington University, WA, USA</w:t>
      </w:r>
    </w:p>
    <w:p>
      <w:pPr>
        <w:pStyle w:val="BodyText"/>
        <w:ind w:left="116" w:right="153"/>
      </w:pPr>
      <w:r>
        <w:rPr>
          <w:color w:val="211E1E"/>
        </w:rPr>
        <w:t>and graduated with an MS in Experimental Psychology in 2019. She has worked with Ideal Option, a multi-center, multi-state medical practice that treats patients for substance use disorders (primarily opioid use disorder) in an office-based setting, for eight years.</w:t>
      </w:r>
    </w:p>
    <w:p>
      <w:pPr>
        <w:pStyle w:val="BodyText"/>
        <w:spacing w:before="2"/>
        <w:ind w:left="116" w:right="146"/>
      </w:pPr>
      <w:r>
        <w:rPr>
          <w:color w:val="211E1E"/>
        </w:rPr>
        <w:t>Over the last three years she has been involved in various research projects and case studies at Ideal Option involving various substances (buprenorphine, loperamide, kratom, methamphetamines, fentanyl, gabapentin, etc.).</w:t>
      </w:r>
    </w:p>
    <w:p>
      <w:pPr>
        <w:spacing w:after="0"/>
        <w:sectPr>
          <w:type w:val="continuous"/>
          <w:pgSz w:w="11910" w:h="16840"/>
          <w:pgMar w:top="2060" w:bottom="960" w:left="1320" w:right="1320"/>
          <w:cols w:num="2" w:equalWidth="0">
            <w:col w:w="1778" w:space="44"/>
            <w:col w:w="7448"/>
          </w:cols>
        </w:sectPr>
      </w:pPr>
    </w:p>
    <w:p>
      <w:pPr>
        <w:pStyle w:val="BodyText"/>
        <w:spacing w:before="1"/>
        <w:rPr>
          <w:sz w:val="22"/>
        </w:rPr>
      </w:pPr>
    </w:p>
    <w:p>
      <w:pPr>
        <w:spacing w:before="68"/>
        <w:ind w:left="101" w:right="0" w:firstLine="0"/>
        <w:jc w:val="left"/>
        <w:rPr>
          <w:sz w:val="17"/>
        </w:rPr>
      </w:pPr>
      <w:r>
        <w:rPr>
          <w:sz w:val="17"/>
        </w:rPr>
        <w:t>Scholl L, Seth P, Kariisa M, Wilson N, Baldwin G. Drug and opioid-involved overdose deaths — United States, 2013–2017. </w:t>
      </w:r>
      <w:r>
        <w:rPr>
          <w:i/>
          <w:sz w:val="17"/>
        </w:rPr>
        <w:t>MMWR</w:t>
      </w:r>
      <w:r>
        <w:rPr>
          <w:sz w:val="17"/>
        </w:rPr>
        <w:t>.</w:t>
      </w:r>
    </w:p>
    <w:p>
      <w:pPr>
        <w:spacing w:before="30"/>
        <w:ind w:left="581" w:right="0" w:firstLine="0"/>
        <w:jc w:val="left"/>
        <w:rPr>
          <w:sz w:val="17"/>
        </w:rPr>
      </w:pPr>
      <w:r>
        <w:rPr>
          <w:sz w:val="17"/>
        </w:rPr>
        <w:t>2019;67:1419–1427.</w:t>
      </w:r>
    </w:p>
    <w:p>
      <w:pPr>
        <w:spacing w:before="30"/>
        <w:ind w:left="101" w:right="0" w:firstLine="0"/>
        <w:jc w:val="both"/>
        <w:rPr>
          <w:sz w:val="17"/>
        </w:rPr>
      </w:pPr>
      <w:r>
        <w:rPr>
          <w:sz w:val="17"/>
        </w:rPr>
        <w:t>Lyden J, Binswanger I. The United States opioid epidemic. </w:t>
      </w:r>
      <w:r>
        <w:rPr>
          <w:i/>
          <w:sz w:val="17"/>
        </w:rPr>
        <w:t>Semin Perinatol</w:t>
      </w:r>
      <w:r>
        <w:rPr>
          <w:sz w:val="17"/>
        </w:rPr>
        <w:t>. 2019;43(3):123–131.</w:t>
      </w:r>
    </w:p>
    <w:p>
      <w:pPr>
        <w:spacing w:line="276" w:lineRule="auto" w:before="30"/>
        <w:ind w:left="581" w:right="102" w:hanging="480"/>
        <w:jc w:val="both"/>
        <w:rPr>
          <w:sz w:val="17"/>
        </w:rPr>
      </w:pPr>
      <w:r>
        <w:rPr>
          <w:sz w:val="17"/>
        </w:rPr>
        <w:t>Anwar M, Law R, Schier J. Notes from the field: Kratom (</w:t>
      </w:r>
      <w:r>
        <w:rPr>
          <w:i/>
          <w:sz w:val="17"/>
        </w:rPr>
        <w:t>Mitragyna speciosa</w:t>
      </w:r>
      <w:r>
        <w:rPr>
          <w:sz w:val="17"/>
        </w:rPr>
        <w:t>) exposures reported to poison centers – United States, 2010–2015. </w:t>
      </w:r>
      <w:r>
        <w:rPr>
          <w:i/>
          <w:sz w:val="17"/>
        </w:rPr>
        <w:t>MMWR Morb Mortal Wkly Rep</w:t>
      </w:r>
      <w:r>
        <w:rPr>
          <w:sz w:val="17"/>
        </w:rPr>
        <w:t>. 2016;65(29):748–749.</w:t>
      </w:r>
    </w:p>
    <w:p>
      <w:pPr>
        <w:spacing w:line="276" w:lineRule="auto" w:before="2"/>
        <w:ind w:left="581" w:right="102" w:hanging="480"/>
        <w:jc w:val="both"/>
        <w:rPr>
          <w:sz w:val="17"/>
        </w:rPr>
      </w:pPr>
      <w:r>
        <w:rPr>
          <w:sz w:val="17"/>
        </w:rPr>
        <w:t>Post S, Spiller HA, Chounthirath T, Smith GA. Kratom exposures reported to United States poison control centers: 2011–2017. </w:t>
      </w:r>
      <w:r>
        <w:rPr>
          <w:i/>
          <w:sz w:val="17"/>
        </w:rPr>
        <w:t>Clin </w:t>
      </w:r>
      <w:r>
        <w:rPr>
          <w:i/>
          <w:sz w:val="17"/>
        </w:rPr>
        <w:t>Toxicol</w:t>
      </w:r>
      <w:r>
        <w:rPr>
          <w:sz w:val="17"/>
        </w:rPr>
        <w:t>. 2019;57(10):847–854.</w:t>
      </w:r>
    </w:p>
    <w:p>
      <w:pPr>
        <w:spacing w:line="276" w:lineRule="auto" w:before="0"/>
        <w:ind w:left="581" w:right="102" w:hanging="480"/>
        <w:jc w:val="both"/>
        <w:rPr>
          <w:sz w:val="17"/>
        </w:rPr>
      </w:pPr>
      <w:r>
        <w:rPr>
          <w:sz w:val="17"/>
        </w:rPr>
        <w:t>Cinosi</w:t>
      </w:r>
      <w:r>
        <w:rPr>
          <w:spacing w:val="-11"/>
          <w:sz w:val="17"/>
        </w:rPr>
        <w:t> </w:t>
      </w:r>
      <w:r>
        <w:rPr>
          <w:sz w:val="17"/>
        </w:rPr>
        <w:t>E,</w:t>
      </w:r>
      <w:r>
        <w:rPr>
          <w:spacing w:val="-10"/>
          <w:sz w:val="17"/>
        </w:rPr>
        <w:t> </w:t>
      </w:r>
      <w:r>
        <w:rPr>
          <w:sz w:val="17"/>
        </w:rPr>
        <w:t>Martinotti</w:t>
      </w:r>
      <w:r>
        <w:rPr>
          <w:spacing w:val="-10"/>
          <w:sz w:val="17"/>
        </w:rPr>
        <w:t> </w:t>
      </w:r>
      <w:r>
        <w:rPr>
          <w:sz w:val="17"/>
        </w:rPr>
        <w:t>G,</w:t>
      </w:r>
      <w:r>
        <w:rPr>
          <w:spacing w:val="-11"/>
          <w:sz w:val="17"/>
        </w:rPr>
        <w:t> </w:t>
      </w:r>
      <w:r>
        <w:rPr>
          <w:sz w:val="17"/>
        </w:rPr>
        <w:t>Simonato</w:t>
      </w:r>
      <w:r>
        <w:rPr>
          <w:spacing w:val="-9"/>
          <w:sz w:val="17"/>
        </w:rPr>
        <w:t> </w:t>
      </w:r>
      <w:r>
        <w:rPr>
          <w:sz w:val="17"/>
        </w:rPr>
        <w:t>P,</w:t>
      </w:r>
      <w:r>
        <w:rPr>
          <w:spacing w:val="-10"/>
          <w:sz w:val="17"/>
        </w:rPr>
        <w:t> </w:t>
      </w:r>
      <w:r>
        <w:rPr>
          <w:sz w:val="17"/>
        </w:rPr>
        <w:t>Singh</w:t>
      </w:r>
      <w:r>
        <w:rPr>
          <w:spacing w:val="-10"/>
          <w:sz w:val="17"/>
        </w:rPr>
        <w:t> </w:t>
      </w:r>
      <w:r>
        <w:rPr>
          <w:sz w:val="17"/>
        </w:rPr>
        <w:t>D,</w:t>
      </w:r>
      <w:r>
        <w:rPr>
          <w:spacing w:val="-10"/>
          <w:sz w:val="17"/>
        </w:rPr>
        <w:t> </w:t>
      </w:r>
      <w:r>
        <w:rPr>
          <w:sz w:val="17"/>
        </w:rPr>
        <w:t>et</w:t>
      </w:r>
      <w:r>
        <w:rPr>
          <w:spacing w:val="-10"/>
          <w:sz w:val="17"/>
        </w:rPr>
        <w:t> </w:t>
      </w:r>
      <w:r>
        <w:rPr>
          <w:sz w:val="17"/>
        </w:rPr>
        <w:t>al.</w:t>
      </w:r>
      <w:r>
        <w:rPr>
          <w:spacing w:val="-10"/>
          <w:sz w:val="17"/>
        </w:rPr>
        <w:t> </w:t>
      </w:r>
      <w:r>
        <w:rPr>
          <w:sz w:val="17"/>
        </w:rPr>
        <w:t>Following</w:t>
      </w:r>
      <w:r>
        <w:rPr>
          <w:spacing w:val="-10"/>
          <w:sz w:val="17"/>
        </w:rPr>
        <w:t> </w:t>
      </w:r>
      <w:r>
        <w:rPr>
          <w:sz w:val="17"/>
        </w:rPr>
        <w:t>“the</w:t>
      </w:r>
      <w:r>
        <w:rPr>
          <w:spacing w:val="-10"/>
          <w:sz w:val="17"/>
        </w:rPr>
        <w:t> </w:t>
      </w:r>
      <w:r>
        <w:rPr>
          <w:sz w:val="17"/>
        </w:rPr>
        <w:t>roots”</w:t>
      </w:r>
      <w:r>
        <w:rPr>
          <w:spacing w:val="-10"/>
          <w:sz w:val="17"/>
        </w:rPr>
        <w:t> </w:t>
      </w:r>
      <w:r>
        <w:rPr>
          <w:sz w:val="17"/>
        </w:rPr>
        <w:t>of</w:t>
      </w:r>
      <w:r>
        <w:rPr>
          <w:spacing w:val="-11"/>
          <w:sz w:val="17"/>
        </w:rPr>
        <w:t> </w:t>
      </w:r>
      <w:r>
        <w:rPr>
          <w:sz w:val="17"/>
        </w:rPr>
        <w:t>kratom</w:t>
      </w:r>
      <w:r>
        <w:rPr>
          <w:spacing w:val="-9"/>
          <w:sz w:val="17"/>
        </w:rPr>
        <w:t> </w:t>
      </w:r>
      <w:r>
        <w:rPr>
          <w:sz w:val="17"/>
        </w:rPr>
        <w:t>(</w:t>
      </w:r>
      <w:r>
        <w:rPr>
          <w:i/>
          <w:sz w:val="17"/>
        </w:rPr>
        <w:t>Mitragyna</w:t>
      </w:r>
      <w:r>
        <w:rPr>
          <w:i/>
          <w:spacing w:val="-9"/>
          <w:sz w:val="17"/>
        </w:rPr>
        <w:t> </w:t>
      </w:r>
      <w:r>
        <w:rPr>
          <w:i/>
          <w:sz w:val="17"/>
        </w:rPr>
        <w:t>speciosa</w:t>
      </w:r>
      <w:r>
        <w:rPr>
          <w:sz w:val="17"/>
        </w:rPr>
        <w:t>):</w:t>
      </w:r>
      <w:r>
        <w:rPr>
          <w:spacing w:val="-11"/>
          <w:sz w:val="17"/>
        </w:rPr>
        <w:t> </w:t>
      </w:r>
      <w:r>
        <w:rPr>
          <w:sz w:val="17"/>
        </w:rPr>
        <w:t>the</w:t>
      </w:r>
      <w:r>
        <w:rPr>
          <w:spacing w:val="-10"/>
          <w:sz w:val="17"/>
        </w:rPr>
        <w:t> </w:t>
      </w:r>
      <w:r>
        <w:rPr>
          <w:sz w:val="17"/>
        </w:rPr>
        <w:t>evolution</w:t>
      </w:r>
      <w:r>
        <w:rPr>
          <w:spacing w:val="-9"/>
          <w:sz w:val="17"/>
        </w:rPr>
        <w:t> </w:t>
      </w:r>
      <w:r>
        <w:rPr>
          <w:sz w:val="17"/>
        </w:rPr>
        <w:t>of</w:t>
      </w:r>
      <w:r>
        <w:rPr>
          <w:spacing w:val="-11"/>
          <w:sz w:val="17"/>
        </w:rPr>
        <w:t> </w:t>
      </w:r>
      <w:r>
        <w:rPr>
          <w:sz w:val="17"/>
        </w:rPr>
        <w:t>an</w:t>
      </w:r>
      <w:r>
        <w:rPr>
          <w:spacing w:val="-9"/>
          <w:sz w:val="17"/>
        </w:rPr>
        <w:t> </w:t>
      </w:r>
      <w:r>
        <w:rPr>
          <w:sz w:val="17"/>
        </w:rPr>
        <w:t>enhancer from a traditional use to increase work and productivity in Southeast Asia to a recreational psychoactive drug in western countries. </w:t>
      </w:r>
      <w:r>
        <w:rPr>
          <w:i/>
          <w:sz w:val="17"/>
        </w:rPr>
        <w:t>Biomed Res Int</w:t>
      </w:r>
      <w:r>
        <w:rPr>
          <w:sz w:val="17"/>
        </w:rPr>
        <w:t>. 2015;2015:968711–968786.</w:t>
      </w:r>
    </w:p>
    <w:p>
      <w:pPr>
        <w:spacing w:line="276" w:lineRule="auto" w:before="0"/>
        <w:ind w:left="581" w:right="102" w:hanging="480"/>
        <w:jc w:val="both"/>
        <w:rPr>
          <w:sz w:val="17"/>
        </w:rPr>
      </w:pPr>
      <w:r>
        <w:rPr>
          <w:sz w:val="17"/>
        </w:rPr>
        <w:t>Schimmel</w:t>
      </w:r>
      <w:r>
        <w:rPr>
          <w:spacing w:val="-9"/>
          <w:sz w:val="17"/>
        </w:rPr>
        <w:t> </w:t>
      </w:r>
      <w:r>
        <w:rPr>
          <w:sz w:val="17"/>
        </w:rPr>
        <w:t>J,</w:t>
      </w:r>
      <w:r>
        <w:rPr>
          <w:spacing w:val="-8"/>
          <w:sz w:val="17"/>
        </w:rPr>
        <w:t> </w:t>
      </w:r>
      <w:r>
        <w:rPr>
          <w:sz w:val="17"/>
        </w:rPr>
        <w:t>Amioka</w:t>
      </w:r>
      <w:r>
        <w:rPr>
          <w:spacing w:val="-8"/>
          <w:sz w:val="17"/>
        </w:rPr>
        <w:t> </w:t>
      </w:r>
      <w:r>
        <w:rPr>
          <w:sz w:val="17"/>
        </w:rPr>
        <w:t>E,</w:t>
      </w:r>
      <w:r>
        <w:rPr>
          <w:spacing w:val="-8"/>
          <w:sz w:val="17"/>
        </w:rPr>
        <w:t> </w:t>
      </w:r>
      <w:r>
        <w:rPr>
          <w:sz w:val="17"/>
        </w:rPr>
        <w:t>Rockhill</w:t>
      </w:r>
      <w:r>
        <w:rPr>
          <w:spacing w:val="-8"/>
          <w:sz w:val="17"/>
        </w:rPr>
        <w:t> </w:t>
      </w:r>
      <w:r>
        <w:rPr>
          <w:sz w:val="17"/>
        </w:rPr>
        <w:t>K,</w:t>
      </w:r>
      <w:r>
        <w:rPr>
          <w:spacing w:val="-8"/>
          <w:sz w:val="17"/>
        </w:rPr>
        <w:t> </w:t>
      </w:r>
      <w:r>
        <w:rPr>
          <w:sz w:val="17"/>
        </w:rPr>
        <w:t>et</w:t>
      </w:r>
      <w:r>
        <w:rPr>
          <w:spacing w:val="-9"/>
          <w:sz w:val="17"/>
        </w:rPr>
        <w:t> </w:t>
      </w:r>
      <w:r>
        <w:rPr>
          <w:sz w:val="17"/>
        </w:rPr>
        <w:t>al.</w:t>
      </w:r>
      <w:r>
        <w:rPr>
          <w:spacing w:val="-8"/>
          <w:sz w:val="17"/>
        </w:rPr>
        <w:t> </w:t>
      </w:r>
      <w:r>
        <w:rPr>
          <w:sz w:val="17"/>
        </w:rPr>
        <w:t>Prevalence</w:t>
      </w:r>
      <w:r>
        <w:rPr>
          <w:spacing w:val="-8"/>
          <w:sz w:val="17"/>
        </w:rPr>
        <w:t> </w:t>
      </w:r>
      <w:r>
        <w:rPr>
          <w:sz w:val="17"/>
        </w:rPr>
        <w:t>and</w:t>
      </w:r>
      <w:r>
        <w:rPr>
          <w:spacing w:val="-8"/>
          <w:sz w:val="17"/>
        </w:rPr>
        <w:t> </w:t>
      </w:r>
      <w:r>
        <w:rPr>
          <w:sz w:val="17"/>
        </w:rPr>
        <w:t>description</w:t>
      </w:r>
      <w:r>
        <w:rPr>
          <w:spacing w:val="-8"/>
          <w:sz w:val="17"/>
        </w:rPr>
        <w:t> </w:t>
      </w:r>
      <w:r>
        <w:rPr>
          <w:sz w:val="17"/>
        </w:rPr>
        <w:t>of</w:t>
      </w:r>
      <w:r>
        <w:rPr>
          <w:spacing w:val="-9"/>
          <w:sz w:val="17"/>
        </w:rPr>
        <w:t> </w:t>
      </w:r>
      <w:r>
        <w:rPr>
          <w:sz w:val="17"/>
        </w:rPr>
        <w:t>kratom</w:t>
      </w:r>
      <w:r>
        <w:rPr>
          <w:spacing w:val="-7"/>
          <w:sz w:val="17"/>
        </w:rPr>
        <w:t> </w:t>
      </w:r>
      <w:r>
        <w:rPr>
          <w:sz w:val="17"/>
        </w:rPr>
        <w:t>(</w:t>
      </w:r>
      <w:r>
        <w:rPr>
          <w:i/>
          <w:sz w:val="17"/>
        </w:rPr>
        <w:t>Mitragyna</w:t>
      </w:r>
      <w:r>
        <w:rPr>
          <w:i/>
          <w:spacing w:val="-8"/>
          <w:sz w:val="17"/>
        </w:rPr>
        <w:t> </w:t>
      </w:r>
      <w:r>
        <w:rPr>
          <w:i/>
          <w:sz w:val="17"/>
        </w:rPr>
        <w:t>speciosa</w:t>
      </w:r>
      <w:r>
        <w:rPr>
          <w:sz w:val="17"/>
        </w:rPr>
        <w:t>)</w:t>
      </w:r>
      <w:r>
        <w:rPr>
          <w:spacing w:val="-8"/>
          <w:sz w:val="17"/>
        </w:rPr>
        <w:t> </w:t>
      </w:r>
      <w:r>
        <w:rPr>
          <w:sz w:val="17"/>
        </w:rPr>
        <w:t>use</w:t>
      </w:r>
      <w:r>
        <w:rPr>
          <w:spacing w:val="-8"/>
          <w:sz w:val="17"/>
        </w:rPr>
        <w:t> </w:t>
      </w:r>
      <w:r>
        <w:rPr>
          <w:sz w:val="17"/>
        </w:rPr>
        <w:t>in</w:t>
      </w:r>
      <w:r>
        <w:rPr>
          <w:spacing w:val="-8"/>
          <w:sz w:val="17"/>
        </w:rPr>
        <w:t> </w:t>
      </w:r>
      <w:r>
        <w:rPr>
          <w:sz w:val="17"/>
        </w:rPr>
        <w:t>the</w:t>
      </w:r>
      <w:r>
        <w:rPr>
          <w:spacing w:val="-9"/>
          <w:sz w:val="17"/>
        </w:rPr>
        <w:t> </w:t>
      </w:r>
      <w:r>
        <w:rPr>
          <w:sz w:val="17"/>
        </w:rPr>
        <w:t>United</w:t>
      </w:r>
      <w:r>
        <w:rPr>
          <w:spacing w:val="-8"/>
          <w:sz w:val="17"/>
        </w:rPr>
        <w:t> </w:t>
      </w:r>
      <w:r>
        <w:rPr>
          <w:sz w:val="17"/>
        </w:rPr>
        <w:t>States:</w:t>
      </w:r>
      <w:r>
        <w:rPr>
          <w:spacing w:val="-8"/>
          <w:sz w:val="17"/>
        </w:rPr>
        <w:t> </w:t>
      </w:r>
      <w:r>
        <w:rPr>
          <w:sz w:val="17"/>
        </w:rPr>
        <w:t>a</w:t>
      </w:r>
      <w:r>
        <w:rPr>
          <w:spacing w:val="-8"/>
          <w:sz w:val="17"/>
        </w:rPr>
        <w:t> </w:t>
      </w:r>
      <w:r>
        <w:rPr>
          <w:sz w:val="17"/>
        </w:rPr>
        <w:t>cross</w:t>
      </w:r>
      <w:r>
        <w:rPr>
          <w:rFonts w:ascii="Arial" w:hAnsi="Arial"/>
          <w:sz w:val="17"/>
        </w:rPr>
        <w:t>- </w:t>
      </w:r>
      <w:r>
        <w:rPr>
          <w:sz w:val="17"/>
        </w:rPr>
        <w:t>sectional study. </w:t>
      </w:r>
      <w:r>
        <w:rPr>
          <w:i/>
          <w:sz w:val="17"/>
        </w:rPr>
        <w:t>Addiction</w:t>
      </w:r>
      <w:r>
        <w:rPr>
          <w:sz w:val="17"/>
        </w:rPr>
        <w:t>. 2021;116(1):176–181.</w:t>
      </w:r>
    </w:p>
    <w:p>
      <w:pPr>
        <w:spacing w:line="276" w:lineRule="auto" w:before="0"/>
        <w:ind w:left="581" w:right="102" w:hanging="480"/>
        <w:jc w:val="both"/>
        <w:rPr>
          <w:sz w:val="17"/>
        </w:rPr>
      </w:pPr>
      <w:r>
        <w:rPr>
          <w:sz w:val="17"/>
        </w:rPr>
        <w:t>Coe M, Pillitteri J, Sembower M, Gerlach K, Henningfield J. Kratom as a substitute for opioids: results from an online survey. </w:t>
      </w:r>
      <w:r>
        <w:rPr>
          <w:i/>
          <w:sz w:val="17"/>
        </w:rPr>
        <w:t>Drug </w:t>
      </w:r>
      <w:r>
        <w:rPr>
          <w:i/>
          <w:sz w:val="17"/>
        </w:rPr>
        <w:t>Alcohol Depend</w:t>
      </w:r>
      <w:r>
        <w:rPr>
          <w:sz w:val="17"/>
        </w:rPr>
        <w:t>. 2019;202:24–32.</w:t>
      </w:r>
    </w:p>
    <w:p>
      <w:pPr>
        <w:spacing w:before="1"/>
        <w:ind w:left="101" w:right="0" w:firstLine="0"/>
        <w:jc w:val="both"/>
        <w:rPr>
          <w:sz w:val="17"/>
        </w:rPr>
      </w:pPr>
      <w:r>
        <w:rPr>
          <w:sz w:val="17"/>
        </w:rPr>
        <w:t>Stanciu C, Gnanasegaram S, Ahmed A, Penders T. Kratom withdrawal: a systematic review with case series. </w:t>
      </w:r>
      <w:r>
        <w:rPr>
          <w:i/>
          <w:sz w:val="17"/>
        </w:rPr>
        <w:t>J Psychoactive Drugs</w:t>
      </w:r>
      <w:r>
        <w:rPr>
          <w:sz w:val="17"/>
        </w:rPr>
        <w:t>.</w:t>
      </w:r>
    </w:p>
    <w:p>
      <w:pPr>
        <w:spacing w:before="26"/>
        <w:ind w:left="581" w:right="0" w:firstLine="0"/>
        <w:jc w:val="left"/>
        <w:rPr>
          <w:sz w:val="17"/>
        </w:rPr>
      </w:pPr>
      <w:r>
        <w:rPr>
          <w:sz w:val="17"/>
        </w:rPr>
        <w:t>2019;51(1):12–18.</w:t>
      </w:r>
    </w:p>
    <w:p>
      <w:pPr>
        <w:spacing w:line="276" w:lineRule="auto" w:before="30"/>
        <w:ind w:left="581" w:right="32" w:hanging="480"/>
        <w:jc w:val="left"/>
        <w:rPr>
          <w:sz w:val="17"/>
        </w:rPr>
      </w:pPr>
      <w:r>
        <w:rPr>
          <w:sz w:val="17"/>
        </w:rPr>
        <w:t>Kruegel A, Gassaway M, Kapoor A, et al. Synthetic and receptor signaling explorations of the Mitragyna alkaloids: mitragynine as an atypical molecular framework for opioid receptor modulators. </w:t>
      </w:r>
      <w:r>
        <w:rPr>
          <w:i/>
          <w:sz w:val="17"/>
        </w:rPr>
        <w:t>J Am Chem Soc</w:t>
      </w:r>
      <w:r>
        <w:rPr>
          <w:sz w:val="17"/>
        </w:rPr>
        <w:t>. 2016;138(21):6754–6764.</w:t>
      </w:r>
    </w:p>
    <w:p>
      <w:pPr>
        <w:spacing w:line="276" w:lineRule="auto" w:before="1"/>
        <w:ind w:left="581" w:right="0" w:hanging="480"/>
        <w:jc w:val="left"/>
        <w:rPr>
          <w:sz w:val="17"/>
        </w:rPr>
      </w:pPr>
      <w:r>
        <w:rPr>
          <w:sz w:val="17"/>
        </w:rPr>
        <w:t>Chien G, Odonkor C, Amorapanth P. Is kratom the new ‘legal high’on the block?: The case of an emerging opioid receptor agonist with substance abuse potential. </w:t>
      </w:r>
      <w:r>
        <w:rPr>
          <w:i/>
          <w:sz w:val="17"/>
        </w:rPr>
        <w:t>Pain Physician</w:t>
      </w:r>
      <w:r>
        <w:rPr>
          <w:sz w:val="17"/>
        </w:rPr>
        <w:t>. 2017;20:E195–E198.</w:t>
      </w:r>
    </w:p>
    <w:p>
      <w:pPr>
        <w:spacing w:before="2"/>
        <w:ind w:left="101" w:right="0" w:firstLine="0"/>
        <w:jc w:val="left"/>
        <w:rPr>
          <w:sz w:val="17"/>
        </w:rPr>
      </w:pPr>
      <w:r>
        <w:rPr>
          <w:sz w:val="17"/>
        </w:rPr>
        <w:t>Eastlack S, Cornett E, Kaye A. Kratom-pharmacology, clinical implications, and outlook: a comprehensive review. </w:t>
      </w:r>
      <w:r>
        <w:rPr>
          <w:i/>
          <w:sz w:val="17"/>
        </w:rPr>
        <w:t>Pain Ther</w:t>
      </w:r>
      <w:r>
        <w:rPr>
          <w:sz w:val="17"/>
        </w:rPr>
        <w:t>.</w:t>
      </w:r>
    </w:p>
    <w:p>
      <w:pPr>
        <w:spacing w:before="30"/>
        <w:ind w:left="581" w:right="0" w:firstLine="0"/>
        <w:jc w:val="left"/>
        <w:rPr>
          <w:sz w:val="17"/>
        </w:rPr>
      </w:pPr>
      <w:r>
        <w:rPr>
          <w:sz w:val="17"/>
        </w:rPr>
        <w:t>2020;9(1):55–69.</w:t>
      </w:r>
    </w:p>
    <w:p>
      <w:pPr>
        <w:spacing w:line="271" w:lineRule="auto" w:before="30"/>
        <w:ind w:left="581" w:right="0" w:hanging="480"/>
        <w:jc w:val="left"/>
        <w:rPr>
          <w:sz w:val="17"/>
        </w:rPr>
      </w:pPr>
      <w:r>
        <w:rPr>
          <w:sz w:val="17"/>
        </w:rPr>
        <w:t>Khazaeli A, Jerry J, Vazirian M. Treatment of kratom withdrawal and addiction with buprenorphine. </w:t>
      </w:r>
      <w:r>
        <w:rPr>
          <w:i/>
          <w:sz w:val="17"/>
        </w:rPr>
        <w:t>J Addict Med</w:t>
      </w:r>
      <w:r>
        <w:rPr>
          <w:sz w:val="17"/>
        </w:rPr>
        <w:t>. 2018;12(6):493– 495.</w:t>
      </w:r>
    </w:p>
    <w:p>
      <w:pPr>
        <w:spacing w:line="276" w:lineRule="auto" w:before="5"/>
        <w:ind w:left="581" w:right="399" w:hanging="480"/>
        <w:jc w:val="left"/>
        <w:rPr>
          <w:sz w:val="17"/>
        </w:rPr>
      </w:pPr>
      <w:r>
        <w:rPr>
          <w:sz w:val="17"/>
        </w:rPr>
        <w:t>Singh D, Müller C, Vicknasingam B. Kratom (</w:t>
      </w:r>
      <w:r>
        <w:rPr>
          <w:i/>
          <w:sz w:val="17"/>
        </w:rPr>
        <w:t>Mitragyna speciosa</w:t>
      </w:r>
      <w:r>
        <w:rPr>
          <w:sz w:val="17"/>
        </w:rPr>
        <w:t>) dependence, withdrawal symptoms and craving in  regular  users. </w:t>
      </w:r>
      <w:r>
        <w:rPr>
          <w:i/>
          <w:sz w:val="17"/>
        </w:rPr>
        <w:t>Drug Alcohol Depend</w:t>
      </w:r>
      <w:r>
        <w:rPr>
          <w:sz w:val="17"/>
        </w:rPr>
        <w:t>.</w:t>
      </w:r>
      <w:r>
        <w:rPr>
          <w:spacing w:val="-1"/>
          <w:sz w:val="17"/>
        </w:rPr>
        <w:t> </w:t>
      </w:r>
      <w:r>
        <w:rPr>
          <w:sz w:val="17"/>
        </w:rPr>
        <w:t>2014;139:132–137.</w:t>
      </w:r>
    </w:p>
    <w:p>
      <w:pPr>
        <w:spacing w:before="1"/>
        <w:ind w:left="101" w:right="0" w:firstLine="0"/>
        <w:jc w:val="left"/>
        <w:rPr>
          <w:sz w:val="17"/>
        </w:rPr>
      </w:pPr>
      <w:r>
        <w:rPr>
          <w:sz w:val="17"/>
        </w:rPr>
        <w:t>Abdullah B, Leong M. Kratom dependence and treatment options: a comprehensive review of the literature. </w:t>
      </w:r>
      <w:r>
        <w:rPr>
          <w:i/>
          <w:sz w:val="17"/>
        </w:rPr>
        <w:t>Current Drug Targets</w:t>
      </w:r>
      <w:r>
        <w:rPr>
          <w:sz w:val="17"/>
        </w:rPr>
        <w:t>.</w:t>
      </w:r>
    </w:p>
    <w:p>
      <w:pPr>
        <w:spacing w:before="30"/>
        <w:ind w:left="581" w:right="0" w:firstLine="0"/>
        <w:jc w:val="left"/>
        <w:rPr>
          <w:sz w:val="17"/>
        </w:rPr>
      </w:pPr>
      <w:r>
        <w:rPr>
          <w:sz w:val="17"/>
        </w:rPr>
        <w:t>2020;21(15):1566–1579.</w:t>
      </w:r>
    </w:p>
    <w:p>
      <w:pPr>
        <w:spacing w:before="31"/>
        <w:ind w:left="101" w:right="0" w:firstLine="0"/>
        <w:jc w:val="left"/>
        <w:rPr>
          <w:sz w:val="17"/>
        </w:rPr>
      </w:pPr>
      <w:r>
        <w:rPr>
          <w:sz w:val="17"/>
        </w:rPr>
        <w:t>Buresh M. Treatment of kratom dependence with buprenorphine-naloxone maintenance. </w:t>
      </w:r>
      <w:r>
        <w:rPr>
          <w:i/>
          <w:sz w:val="17"/>
        </w:rPr>
        <w:t>J Addict Med</w:t>
      </w:r>
      <w:r>
        <w:rPr>
          <w:sz w:val="17"/>
        </w:rPr>
        <w:t>. 2018;12(6):481–483.</w:t>
      </w:r>
    </w:p>
    <w:p>
      <w:pPr>
        <w:spacing w:line="276" w:lineRule="auto" w:before="30"/>
        <w:ind w:left="581" w:right="0" w:hanging="480"/>
        <w:jc w:val="left"/>
        <w:rPr>
          <w:sz w:val="17"/>
        </w:rPr>
      </w:pPr>
      <w:r>
        <w:rPr>
          <w:sz w:val="17"/>
        </w:rPr>
        <w:t>Weiss S, Douglas H. Treatment of kratom withdrawal and dependence with bupreorphine/naloxone: a case series and systematic literature review. </w:t>
      </w:r>
      <w:r>
        <w:rPr>
          <w:i/>
          <w:sz w:val="17"/>
        </w:rPr>
        <w:t>Journal of Addiction Medicine</w:t>
      </w:r>
      <w:r>
        <w:rPr>
          <w:sz w:val="17"/>
        </w:rPr>
        <w:t>. 2021;15(2):167–172.</w:t>
      </w:r>
    </w:p>
    <w:p>
      <w:pPr>
        <w:spacing w:line="276" w:lineRule="auto" w:before="0"/>
        <w:ind w:left="581" w:right="19" w:hanging="480"/>
        <w:jc w:val="left"/>
        <w:rPr>
          <w:sz w:val="17"/>
        </w:rPr>
      </w:pPr>
      <w:r>
        <w:rPr>
          <w:sz w:val="17"/>
        </w:rPr>
        <w:t>Bowe A, Kerr P. A complex case of kratom dependence, depression, and chronic pain in opioid use disorder: effects of buprenorphine in clinical management. </w:t>
      </w:r>
      <w:r>
        <w:rPr>
          <w:i/>
          <w:sz w:val="17"/>
        </w:rPr>
        <w:t>J Psychoactive Drugs</w:t>
      </w:r>
      <w:r>
        <w:rPr>
          <w:sz w:val="17"/>
        </w:rPr>
        <w:t>. 2020;52 (5):447–452.</w:t>
      </w:r>
    </w:p>
    <w:p>
      <w:pPr>
        <w:spacing w:line="276" w:lineRule="auto" w:before="0"/>
        <w:ind w:left="581" w:right="0" w:hanging="480"/>
        <w:jc w:val="left"/>
        <w:rPr>
          <w:sz w:val="17"/>
        </w:rPr>
      </w:pPr>
      <w:r>
        <w:rPr>
          <w:sz w:val="17"/>
        </w:rPr>
        <w:t>Kalin S, Dakhlalla S, Bhardwaj S. Treatment for kratom abuse in a contingency-management-based MAT setting: a case series. </w:t>
      </w:r>
      <w:r>
        <w:rPr>
          <w:i/>
          <w:sz w:val="17"/>
        </w:rPr>
        <w:t>J </w:t>
      </w:r>
      <w:r>
        <w:rPr>
          <w:i/>
          <w:sz w:val="17"/>
        </w:rPr>
        <w:t>Opioid Manage</w:t>
      </w:r>
      <w:r>
        <w:rPr>
          <w:sz w:val="17"/>
        </w:rPr>
        <w:t>. 2020;16(5):391–394.</w:t>
      </w:r>
    </w:p>
    <w:p>
      <w:pPr>
        <w:spacing w:line="276" w:lineRule="auto" w:before="0"/>
        <w:ind w:left="581" w:right="0" w:hanging="480"/>
        <w:jc w:val="left"/>
        <w:rPr>
          <w:sz w:val="17"/>
        </w:rPr>
      </w:pPr>
      <w:r>
        <w:rPr>
          <w:sz w:val="17"/>
        </w:rPr>
        <w:t>Lei J, Butz A, Valentino N. Management of kratom dependence with buprenorphine/naloxone in a veteran population. </w:t>
      </w:r>
      <w:r>
        <w:rPr>
          <w:i/>
          <w:sz w:val="17"/>
        </w:rPr>
        <w:t>Substance </w:t>
      </w:r>
      <w:r>
        <w:rPr>
          <w:i/>
          <w:sz w:val="17"/>
        </w:rPr>
        <w:t>Abuse</w:t>
      </w:r>
      <w:r>
        <w:rPr>
          <w:sz w:val="17"/>
        </w:rPr>
        <w:t>. 2021;42:1–11.</w:t>
      </w:r>
    </w:p>
    <w:sectPr>
      <w:type w:val="continuous"/>
      <w:pgSz w:w="11910" w:h="16840"/>
      <w:pgMar w:top="2060" w:bottom="960" w:left="1320" w:right="132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Arial">
    <w:altName w:val="Arial"/>
    <w:charset w:val="0"/>
    <w:family w:val="swiss"/>
    <w:pitch w:val="variable"/>
  </w:font>
  <w:font w:name="Georgia">
    <w:altName w:val="Georgia"/>
    <w:charset w:val="0"/>
    <w:family w:val="roman"/>
    <w:pitch w:val="variable"/>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pPr>
    <w:r>
      <w:rPr/>
      <w:pict>
        <v:group style="position:absolute;margin-left:29.303905pt;margin-top:788.904114pt;width:545.6pt;height:50.8pt;mso-position-horizontal-relative:page;mso-position-vertical-relative:page;z-index:-15791616" coordorigin="586,15778" coordsize="10912,1016">
          <v:shape style="position:absolute;left:606;top:15798;width:10872;height:976" coordorigin="606,15798" coordsize="10872,976" path="m5773,15798l5639,15798,5506,15799,5374,15801,5244,15803,5115,15805,4987,15808,4860,15812,4735,15816,4611,15820,4489,15825,4368,15831,4249,15837,4131,15843,4014,15850,3899,15857,3786,15864,3674,15872,3563,15880,3455,15889,3348,15898,3242,15907,3138,15916,3036,15926,2936,15936,2837,15946,2741,15957,2646,15968,2553,15979,2461,15990,2372,16001,2284,16012,2115,16036,1954,16059,1801,16084,1656,16108,1520,16132,1455,16145,1392,16157,1331,16169,1217,16194,1112,16218,1016,16241,930,16265,853,16287,786,16309,730,16330,665,16360,615,16395,606,16418,610,16425,665,16454,749,16477,822,16492,910,16507,1010,16522,1123,16537,1247,16553,1382,16568,1527,16583,1681,16597,1844,16612,2014,16626,2191,16640,2374,16653,2563,16666,2757,16679,3054,16696,3358,16713,3665,16727,3871,16736,4076,16744,4281,16751,4483,16758,4684,16763,4881,16767,5074,16770,5262,16772,5445,16773,5621,16773,5791,16771,5953,16768,6185,16762,6435,16754,6699,16744,6975,16733,7262,16719,7556,16704,7855,16688,8157,16669,8459,16650,8760,16628,8959,16613,9155,16597,9347,16580,9536,16563,9720,16545,9899,16527,10072,16508,10238,16488,10397,16468,10473,16457,10548,16447,10620,16436,10690,16425,10757,16414,10822,16403,10885,16392,10945,16380,11056,16357,11156,16333,11244,16309,11319,16284,11381,16259,11446,16220,11478,16166,6007,16212,5773,15798xe" filled="true" fillcolor="#000000" stroked="false">
            <v:path arrowok="t"/>
            <v:fill type="solid"/>
          </v:shape>
          <v:shape style="position:absolute;left:606;top:15798;width:10872;height:976" coordorigin="606,15798" coordsize="10872,976" path="m11478,16166l11446,16220,11381,16259,11319,16284,11244,16309,11156,16333,11056,16357,10945,16380,10885,16392,10822,16403,10757,16414,10690,16425,10620,16436,10548,16447,10473,16457,10397,16468,10319,16478,10238,16488,10156,16498,10072,16508,9986,16517,9899,16527,9810,16536,9720,16545,9629,16554,9536,16563,9442,16572,9347,16580,9251,16589,9155,16597,9057,16605,8959,16613,8860,16620,8760,16628,8660,16635,8560,16643,8459,16650,8359,16656,8258,16663,8157,16669,8056,16676,7955,16682,7855,16688,7755,16694,7655,16699,7556,16704,7457,16710,7359,16715,7262,16719,7165,16724,7070,16729,6975,16733,6882,16737,6790,16741,6699,16744,6609,16748,6521,16751,6435,16754,6350,16757,6267,16760,6185,16762,6106,16764,6028,16766,5953,16768,5873,16770,5791,16771,5707,16772,5621,16773,5534,16773,5445,16773,5354,16773,5262,16772,5169,16771,5074,16770,4978,16769,4881,16767,4783,16765,4684,16763,4584,16760,4483,16758,4382,16755,4281,16751,4179,16748,4076,16744,3973,16740,3871,16736,3768,16732,3665,16727,3562,16723,3460,16718,3358,16713,3256,16707,3155,16702,3054,16696,2954,16691,2855,16685,2757,16679,2659,16673,2563,16666,2468,16660,2374,16653,2282,16647,2191,16640,2102,16633,2014,16626,1928,16619,1844,16612,1761,16605,1681,16597,1603,16590,1527,16583,1453,16575,1382,16568,1313,16560,1247,16553,1184,16545,1123,16537,1010,16522,910,16507,822,16492,749,16477,689,16462,629,16440,606,16418,606,16411,665,16360,730,16330,786,16309,853,16287,930,16265,1016,16241,1112,16218,1217,16194,1331,16169,1392,16157,1455,16145,1520,16132,1587,16120,1656,16108,1727,16096,1801,16084,1876,16071,1954,16059,2034,16047,2115,16036,2199,16024,2284,16012,2372,16001,2461,15990,2553,15979,2646,15968,2741,15957,2837,15946,2936,15936,3036,15926,3138,15916,3242,15907,3348,15898,3455,15889,3563,15880,3674,15872,3786,15864,3899,15857,4014,15850,4131,15843,4249,15837,4368,15831,4489,15825,4611,15820,4735,15816,4860,15812,4987,15808,5115,15805,5244,15803,5374,15801,5506,15799,5639,15798,5773,15798,6007,16212,11478,16166xe" filled="false" stroked="true" strokeweight="2.000001pt" strokecolor="#000000">
            <v:path arrowok="t"/>
            <v:stroke dashstyle="solid"/>
          </v:shape>
          <w10:wrap type="none"/>
        </v:group>
      </w:pict>
    </w:r>
    <w:r>
      <w:rPr/>
      <w:pict>
        <v:shape style="position:absolute;margin-left:183.623993pt;margin-top:811.909485pt;width:229.3pt;height:17.2pt;mso-position-horizontal-relative:page;mso-position-vertical-relative:page;z-index:-15791104" type="#_x0000_t202" filled="false" stroked="false">
          <v:textbox inset="0,0,0,0">
            <w:txbxContent>
              <w:p>
                <w:pPr>
                  <w:spacing w:before="28"/>
                  <w:ind w:left="20" w:right="0" w:firstLine="0"/>
                  <w:jc w:val="left"/>
                  <w:rPr>
                    <w:rFonts w:ascii="Georgia"/>
                    <w:b/>
                    <w:i/>
                    <w:sz w:val="26"/>
                  </w:rPr>
                </w:pPr>
                <w:r>
                  <w:rPr>
                    <w:rFonts w:ascii="Georgia"/>
                    <w:b/>
                    <w:i/>
                    <w:color w:val="FFC000"/>
                    <w:w w:val="85"/>
                    <w:sz w:val="26"/>
                  </w:rPr>
                  <w:t>Journal of Translational</w:t>
                </w:r>
                <w:r>
                  <w:rPr>
                    <w:rFonts w:ascii="Georgia"/>
                    <w:b/>
                    <w:i/>
                    <w:color w:val="FFC000"/>
                    <w:spacing w:val="-32"/>
                    <w:w w:val="85"/>
                    <w:sz w:val="26"/>
                  </w:rPr>
                  <w:t> </w:t>
                </w:r>
                <w:r>
                  <w:rPr>
                    <w:rFonts w:ascii="Georgia"/>
                    <w:b/>
                    <w:i/>
                    <w:color w:val="FFC000"/>
                    <w:w w:val="85"/>
                    <w:sz w:val="26"/>
                  </w:rPr>
                  <w:t>Neurosciences</w:t>
                </w:r>
              </w:p>
            </w:txbxContent>
          </v:textbox>
          <w10:wrap type="none"/>
        </v:shape>
      </w:pict>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pPr>
    <w:r>
      <w:rPr/>
      <w:pict>
        <v:group style="position:absolute;margin-left:15.804pt;margin-top:4.104014pt;width:566.3pt;height:99.2pt;mso-position-horizontal-relative:page;mso-position-vertical-relative:page;z-index:-15794176" coordorigin="316,82" coordsize="11326,1984">
          <v:shape style="position:absolute;left:336;top:102;width:11286;height:1944" coordorigin="336,102" coordsize="11286,1944" path="m11622,102l660,102,586,111,518,135,457,173,407,223,369,284,345,352,336,426,336,2046,11298,2046,11372,2038,11441,2013,11501,1975,11551,1925,11589,1865,11614,1796,11622,1722,11622,102xe" filled="true" fillcolor="#000000" stroked="false">
            <v:path arrowok="t"/>
            <v:fill type="solid"/>
          </v:shape>
          <v:shape style="position:absolute;left:336;top:102;width:11286;height:1944" coordorigin="336,102" coordsize="11286,1944" path="m660,102l11622,102,11622,1722,11614,1796,11589,1865,11551,1925,11501,1975,11441,2013,11372,2038,11298,2046,336,2046,336,426,345,352,369,284,407,223,457,173,518,135,586,111,660,102xe" filled="false" stroked="true" strokeweight="2.000001pt" strokecolor="#000000">
            <v:path arrowok="t"/>
            <v:stroke dashstyle="solid"/>
          </v:shape>
          <w10:wrap type="none"/>
        </v:group>
      </w:pict>
    </w:r>
    <w:r>
      <w:rPr/>
      <w:pict>
        <v:shapetype id="_x0000_t202" o:spt="202" coordsize="21600,21600" path="m,l,21600r21600,l21600,xe">
          <v:stroke joinstyle="miter"/>
          <v:path gradientshapeok="t" o:connecttype="rect"/>
        </v:shapetype>
        <v:shape style="position:absolute;margin-left:222.983994pt;margin-top:24.998234pt;width:152pt;height:12.7pt;mso-position-horizontal-relative:page;mso-position-vertical-relative:page;z-index:-15793664" type="#_x0000_t202" filled="false" stroked="false">
          <v:textbox inset="0,0,0,0">
            <w:txbxContent>
              <w:p>
                <w:pPr>
                  <w:spacing w:before="28"/>
                  <w:ind w:left="20" w:right="0" w:firstLine="0"/>
                  <w:jc w:val="left"/>
                  <w:rPr>
                    <w:rFonts w:ascii="Georgia"/>
                    <w:b/>
                    <w:i/>
                    <w:sz w:val="18"/>
                  </w:rPr>
                </w:pPr>
                <w:r>
                  <w:rPr>
                    <w:rFonts w:ascii="Georgia"/>
                    <w:b/>
                    <w:i/>
                    <w:color w:val="FFC000"/>
                    <w:w w:val="85"/>
                    <w:sz w:val="18"/>
                  </w:rPr>
                  <w:t>addiction.psychiatryconferences.com</w:t>
                </w:r>
              </w:p>
            </w:txbxContent>
          </v:textbox>
          <w10:wrap type="none"/>
        </v:shape>
      </w:pict>
    </w:r>
    <w:r>
      <w:rPr/>
      <w:pict>
        <v:shape style="position:absolute;margin-left:117.863998pt;margin-top:47.797295pt;width:362.2pt;height:18.350pt;mso-position-horizontal-relative:page;mso-position-vertical-relative:page;z-index:-15793152" type="#_x0000_t202" filled="false" stroked="false">
          <v:textbox inset="0,0,0,0">
            <w:txbxContent>
              <w:p>
                <w:pPr>
                  <w:spacing w:before="27"/>
                  <w:ind w:left="20" w:right="0" w:firstLine="0"/>
                  <w:jc w:val="left"/>
                  <w:rPr>
                    <w:rFonts w:ascii="Georgia"/>
                    <w:b/>
                    <w:sz w:val="28"/>
                  </w:rPr>
                </w:pPr>
                <w:r>
                  <w:rPr>
                    <w:rFonts w:ascii="Georgia"/>
                    <w:b/>
                    <w:color w:val="FFC000"/>
                    <w:w w:val="90"/>
                    <w:sz w:val="28"/>
                    <w:u w:val="single" w:color="FFC000"/>
                  </w:rPr>
                  <w:t>14</w:t>
                </w:r>
                <w:r>
                  <w:rPr>
                    <w:rFonts w:ascii="Georgia"/>
                    <w:b/>
                    <w:color w:val="FFC000"/>
                    <w:w w:val="90"/>
                    <w:position w:val="8"/>
                    <w:sz w:val="18"/>
                  </w:rPr>
                  <w:t>th </w:t>
                </w:r>
                <w:r>
                  <w:rPr>
                    <w:rFonts w:ascii="Georgia"/>
                    <w:b/>
                    <w:color w:val="FFC000"/>
                    <w:w w:val="90"/>
                    <w:sz w:val="28"/>
                    <w:u w:val="single" w:color="FFC000"/>
                  </w:rPr>
                  <w:t>International Conference on Addiction &amp;</w:t>
                </w:r>
                <w:r>
                  <w:rPr>
                    <w:rFonts w:ascii="Georgia"/>
                    <w:b/>
                    <w:color w:val="FFC000"/>
                    <w:spacing w:val="-41"/>
                    <w:w w:val="90"/>
                    <w:sz w:val="28"/>
                    <w:u w:val="single" w:color="FFC000"/>
                  </w:rPr>
                  <w:t> </w:t>
                </w:r>
                <w:r>
                  <w:rPr>
                    <w:rFonts w:ascii="Georgia"/>
                    <w:b/>
                    <w:color w:val="FFC000"/>
                    <w:w w:val="90"/>
                    <w:sz w:val="28"/>
                    <w:u w:val="single" w:color="FFC000"/>
                  </w:rPr>
                  <w:t>Psychiatry</w:t>
                </w:r>
              </w:p>
            </w:txbxContent>
          </v:textbox>
          <w10:wrap type="none"/>
        </v:shape>
      </w:pict>
    </w:r>
    <w:r>
      <w:rPr/>
      <w:pict>
        <v:shape style="position:absolute;margin-left:108.744003pt;margin-top:76.741669pt;width:111.85pt;height:16.1pt;mso-position-horizontal-relative:page;mso-position-vertical-relative:page;z-index:-15792640" type="#_x0000_t202" filled="false" stroked="false">
          <v:textbox inset="0,0,0,0">
            <w:txbxContent>
              <w:p>
                <w:pPr>
                  <w:spacing w:before="28"/>
                  <w:ind w:left="20" w:right="0" w:firstLine="0"/>
                  <w:jc w:val="left"/>
                  <w:rPr>
                    <w:rFonts w:ascii="Georgia"/>
                    <w:b/>
                    <w:i/>
                    <w:sz w:val="24"/>
                  </w:rPr>
                </w:pPr>
                <w:r>
                  <w:rPr>
                    <w:rFonts w:ascii="Georgia"/>
                    <w:b/>
                    <w:i/>
                    <w:color w:val="FFC000"/>
                    <w:w w:val="90"/>
                    <w:sz w:val="24"/>
                  </w:rPr>
                  <w:t>October 13-14, 2022</w:t>
                </w:r>
              </w:p>
            </w:txbxContent>
          </v:textbox>
          <w10:wrap type="none"/>
        </v:shape>
      </w:pict>
    </w:r>
    <w:r>
      <w:rPr/>
      <w:pict>
        <v:shape style="position:absolute;margin-left:416.424011pt;margin-top:76.741669pt;width:72.650pt;height:16.1pt;mso-position-horizontal-relative:page;mso-position-vertical-relative:page;z-index:-15792128" type="#_x0000_t202" filled="false" stroked="false">
          <v:textbox inset="0,0,0,0">
            <w:txbxContent>
              <w:p>
                <w:pPr>
                  <w:spacing w:before="28"/>
                  <w:ind w:left="20" w:right="0" w:firstLine="0"/>
                  <w:jc w:val="left"/>
                  <w:rPr>
                    <w:rFonts w:ascii="Georgia"/>
                    <w:b/>
                    <w:i/>
                    <w:sz w:val="24"/>
                  </w:rPr>
                </w:pPr>
                <w:r>
                  <w:rPr>
                    <w:rFonts w:ascii="Georgia"/>
                    <w:b/>
                    <w:i/>
                    <w:color w:val="FFC000"/>
                    <w:w w:val="85"/>
                    <w:sz w:val="24"/>
                  </w:rPr>
                  <w:t>Osaka,</w:t>
                </w:r>
                <w:r>
                  <w:rPr>
                    <w:rFonts w:ascii="Georgia"/>
                    <w:b/>
                    <w:i/>
                    <w:color w:val="FFC000"/>
                    <w:spacing w:val="-35"/>
                    <w:w w:val="85"/>
                    <w:sz w:val="24"/>
                  </w:rPr>
                  <w:t> </w:t>
                </w:r>
                <w:r>
                  <w:rPr>
                    <w:rFonts w:ascii="Georgia"/>
                    <w:b/>
                    <w:i/>
                    <w:color w:val="FFC000"/>
                    <w:w w:val="85"/>
                    <w:sz w:val="24"/>
                  </w:rPr>
                  <w:t>Japan</w:t>
                </w:r>
              </w:p>
            </w:txbxContent>
          </v:textbox>
          <w10:wrap type="none"/>
        </v:shape>
      </w:pic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Times New Roman" w:hAnsi="Times New Roman" w:eastAsia="Times New Roman" w:cs="Times New Roman"/>
      <w:lang w:val="en-US" w:eastAsia="en-US" w:bidi="ar-SA"/>
    </w:rPr>
  </w:style>
  <w:style w:styleId="BodyText" w:type="paragraph">
    <w:name w:val="Body Text"/>
    <w:basedOn w:val="Normal"/>
    <w:uiPriority w:val="1"/>
    <w:qFormat/>
    <w:pPr/>
    <w:rPr>
      <w:rFonts w:ascii="Times New Roman" w:hAnsi="Times New Roman" w:eastAsia="Times New Roman" w:cs="Times New Roman"/>
      <w:sz w:val="20"/>
      <w:szCs w:val="20"/>
      <w:lang w:val="en-US" w:eastAsia="en-US" w:bidi="ar-SA"/>
    </w:rPr>
  </w:style>
  <w:style w:styleId="Heading1" w:type="paragraph">
    <w:name w:val="Heading 1"/>
    <w:basedOn w:val="Normal"/>
    <w:uiPriority w:val="1"/>
    <w:qFormat/>
    <w:pPr>
      <w:spacing w:before="27"/>
      <w:ind w:left="131"/>
      <w:outlineLvl w:val="1"/>
    </w:pPr>
    <w:rPr>
      <w:rFonts w:ascii="Times New Roman" w:hAnsi="Times New Roman" w:eastAsia="Times New Roman" w:cs="Times New Roman"/>
      <w:b/>
      <w:bCs/>
      <w:sz w:val="28"/>
      <w:szCs w:val="28"/>
      <w:lang w:val="en-US" w:eastAsia="en-US" w:bidi="ar-SA"/>
    </w:rPr>
  </w:style>
  <w:style w:styleId="Heading2" w:type="paragraph">
    <w:name w:val="Heading 2"/>
    <w:basedOn w:val="Normal"/>
    <w:uiPriority w:val="1"/>
    <w:qFormat/>
    <w:pPr>
      <w:ind w:left="131"/>
      <w:outlineLvl w:val="2"/>
    </w:pPr>
    <w:rPr>
      <w:rFonts w:ascii="Georgia" w:hAnsi="Georgia" w:eastAsia="Georgia" w:cs="Georgia"/>
      <w:b/>
      <w:bCs/>
      <w:sz w:val="26"/>
      <w:szCs w:val="26"/>
      <w:lang w:val="en-US" w:eastAsia="en-US" w:bidi="ar-SA"/>
    </w:rPr>
  </w:style>
  <w:style w:styleId="ListParagraph" w:type="paragraph">
    <w:name w:val="List Paragraph"/>
    <w:basedOn w:val="Normal"/>
    <w:uiPriority w:val="1"/>
    <w:qFormat/>
    <w:pPr/>
    <w:rPr>
      <w:lang w:val="en-US" w:eastAsia="en-US" w:bidi="ar-SA"/>
    </w:rPr>
  </w:style>
  <w:style w:styleId="TableParagraph" w:type="paragraph">
    <w:name w:val="Table Paragraph"/>
    <w:basedOn w:val="Normal"/>
    <w:uiPriority w:val="1"/>
    <w:qFormat/>
    <w:pPr/>
    <w:rPr>
      <w:lang w:val="en-U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footer" Target="footer1.xml"/><Relationship Id="rId7" Type="http://schemas.openxmlformats.org/officeDocument/2006/relationships/image" Target="media/image1.png"/><Relationship Id="rId8"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Addiction Psychiatry_Abstract.docx</dc:title>
  <dcterms:created xsi:type="dcterms:W3CDTF">2022-10-10T06:09:13Z</dcterms:created>
  <dcterms:modified xsi:type="dcterms:W3CDTF">2022-10-10T06:09:13Z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2022-02-10T00:00:00Z</vt:filetime>
  </property>
  <property fmtid="{D5CDD505-2E9C-101B-9397-08002B2CF9AE}" pid="3" name="Creator">
    <vt:lpwstr>Word</vt:lpwstr>
  </property>
  <property fmtid="{D5CDD505-2E9C-101B-9397-08002B2CF9AE}" pid="4" name="LastSaved">
    <vt:filetime>2022-10-10T00:00:00Z</vt:filetime>
  </property>
</Properties>
</file>