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A52" w:rsidRPr="00987A52" w:rsidRDefault="00987A52" w:rsidP="00987A52">
      <w:pPr>
        <w:widowControl/>
        <w:autoSpaceDE w:val="0"/>
        <w:autoSpaceDN w:val="0"/>
        <w:adjustRightInd w:val="0"/>
        <w:jc w:val="center"/>
        <w:rPr>
          <w:rFonts w:ascii="BICCB K+ Gulliver" w:eastAsia="Calibri" w:hAnsi="BICCB K+ Gulliver" w:cs="BICCB K+ Gulliver"/>
          <w:b/>
          <w:bCs/>
          <w:color w:val="000000"/>
          <w:sz w:val="27"/>
          <w:szCs w:val="27"/>
        </w:rPr>
      </w:pPr>
      <w:proofErr w:type="spellStart"/>
      <w:r w:rsidRPr="00987A52">
        <w:rPr>
          <w:rFonts w:ascii="BICCB K+ Gulliver" w:eastAsia="Calibri" w:hAnsi="BICCB K+ Gulliver" w:cs="BICCB K+ Gulliver"/>
          <w:b/>
          <w:bCs/>
          <w:color w:val="000000"/>
          <w:sz w:val="27"/>
          <w:szCs w:val="27"/>
        </w:rPr>
        <w:t>Thermoresponsive</w:t>
      </w:r>
      <w:proofErr w:type="spellEnd"/>
      <w:r w:rsidRPr="00987A52">
        <w:rPr>
          <w:rFonts w:ascii="BICCB K+ Gulliver" w:eastAsia="Calibri" w:hAnsi="BICCB K+ Gulliver" w:cs="BICCB K+ Gulliver"/>
          <w:b/>
          <w:bCs/>
          <w:color w:val="000000"/>
          <w:sz w:val="27"/>
          <w:szCs w:val="27"/>
        </w:rPr>
        <w:t xml:space="preserve"> surfaces designed for the proliferation and differentiation of human pluripotent stem cells</w:t>
      </w:r>
    </w:p>
    <w:p w:rsidR="00987A52" w:rsidRPr="00987A52" w:rsidRDefault="00987A52" w:rsidP="00987A52">
      <w:pPr>
        <w:widowControl/>
        <w:spacing w:after="160" w:line="259" w:lineRule="auto"/>
        <w:rPr>
          <w:rFonts w:ascii="Times New Roman" w:eastAsia="BICDC G+ MTSY" w:hAnsi="Times New Roman" w:cs="Times New Roman"/>
          <w:sz w:val="24"/>
          <w:szCs w:val="24"/>
          <w:vertAlign w:val="superscript"/>
        </w:rPr>
      </w:pPr>
      <w:r w:rsidRPr="00987A52">
        <w:rPr>
          <w:rFonts w:ascii="Times New Roman" w:eastAsia="Calibri" w:hAnsi="Times New Roman" w:cs="Times New Roman"/>
          <w:sz w:val="24"/>
          <w:szCs w:val="24"/>
        </w:rPr>
        <w:t xml:space="preserve">Akon </w:t>
      </w:r>
      <w:proofErr w:type="spellStart"/>
      <w:r w:rsidRPr="00987A52">
        <w:rPr>
          <w:rFonts w:ascii="Times New Roman" w:eastAsia="Calibri" w:hAnsi="Times New Roman" w:cs="Times New Roman"/>
          <w:sz w:val="24"/>
          <w:szCs w:val="24"/>
        </w:rPr>
        <w:t>Higuchi</w:t>
      </w:r>
      <w:r w:rsidRPr="00987A52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proofErr w:type="gramStart"/>
      <w:r w:rsidRPr="00987A52">
        <w:rPr>
          <w:rFonts w:ascii="Times New Roman" w:eastAsia="Calibri" w:hAnsi="Times New Roman" w:cs="Times New Roman"/>
          <w:sz w:val="24"/>
          <w:szCs w:val="24"/>
          <w:vertAlign w:val="superscript"/>
        </w:rPr>
        <w:t>,b,c,d,e,f</w:t>
      </w:r>
      <w:proofErr w:type="spellEnd"/>
      <w:proofErr w:type="gramEnd"/>
      <w:r w:rsidRPr="00987A52">
        <w:rPr>
          <w:rFonts w:ascii="Times New Roman" w:eastAsia="Calibri" w:hAnsi="Times New Roman" w:cs="Times New Roman"/>
          <w:sz w:val="24"/>
          <w:szCs w:val="24"/>
          <w:vertAlign w:val="superscript"/>
        </w:rPr>
        <w:t>,*</w:t>
      </w:r>
      <w:r w:rsidRPr="00987A5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0" w:name="_GoBack"/>
      <w:proofErr w:type="spellStart"/>
      <w:r w:rsidRPr="00987A52">
        <w:rPr>
          <w:rFonts w:ascii="Times New Roman" w:eastAsia="BICDC G+ MTSY" w:hAnsi="Times New Roman" w:cs="Times New Roman"/>
          <w:b/>
          <w:bCs/>
          <w:sz w:val="24"/>
          <w:szCs w:val="24"/>
          <w:u w:val="single"/>
        </w:rPr>
        <w:t>Abdurahman</w:t>
      </w:r>
      <w:proofErr w:type="spellEnd"/>
      <w:r w:rsidRPr="00987A52">
        <w:rPr>
          <w:rFonts w:ascii="Times New Roman" w:eastAsia="BICDC G+ MTSY" w:hAnsi="Times New Roman" w:cs="Times New Roman"/>
          <w:b/>
          <w:bCs/>
          <w:sz w:val="24"/>
          <w:szCs w:val="24"/>
          <w:u w:val="single"/>
        </w:rPr>
        <w:t xml:space="preserve"> H. </w:t>
      </w:r>
      <w:proofErr w:type="spellStart"/>
      <w:r w:rsidRPr="00987A52">
        <w:rPr>
          <w:rFonts w:ascii="Times New Roman" w:eastAsia="BICDC G+ MTSY" w:hAnsi="Times New Roman" w:cs="Times New Roman"/>
          <w:b/>
          <w:bCs/>
          <w:sz w:val="24"/>
          <w:szCs w:val="24"/>
          <w:u w:val="single"/>
        </w:rPr>
        <w:t>Hirad</w:t>
      </w:r>
      <w:r w:rsidRPr="00987A52">
        <w:rPr>
          <w:rFonts w:ascii="Times New Roman" w:eastAsia="BICDC G+ MTSY" w:hAnsi="Times New Roman" w:cs="Times New Roman"/>
          <w:b/>
          <w:bCs/>
          <w:sz w:val="24"/>
          <w:szCs w:val="24"/>
          <w:u w:val="single"/>
          <w:vertAlign w:val="superscript"/>
        </w:rPr>
        <w:t>f</w:t>
      </w:r>
      <w:bookmarkEnd w:id="0"/>
      <w:proofErr w:type="spellEnd"/>
      <w:r w:rsidRPr="00987A52">
        <w:rPr>
          <w:rFonts w:ascii="Times New Roman" w:eastAsia="BICDC G+ MTSY" w:hAnsi="Times New Roman" w:cs="Times New Roman"/>
          <w:sz w:val="24"/>
          <w:szCs w:val="24"/>
        </w:rPr>
        <w:t xml:space="preserve">, S. Suresh </w:t>
      </w:r>
      <w:proofErr w:type="spellStart"/>
      <w:r w:rsidRPr="00987A52">
        <w:rPr>
          <w:rFonts w:ascii="Times New Roman" w:eastAsia="BICDC G+ MTSY" w:hAnsi="Times New Roman" w:cs="Times New Roman"/>
          <w:sz w:val="24"/>
          <w:szCs w:val="24"/>
        </w:rPr>
        <w:t>Kumar</w:t>
      </w:r>
      <w:r w:rsidRPr="00987A52">
        <w:rPr>
          <w:rFonts w:ascii="Times New Roman" w:eastAsia="BICDC G+ MTSY" w:hAnsi="Times New Roman" w:cs="Times New Roman"/>
          <w:sz w:val="24"/>
          <w:szCs w:val="24"/>
          <w:vertAlign w:val="superscript"/>
        </w:rPr>
        <w:t>g,h</w:t>
      </w:r>
      <w:proofErr w:type="spellEnd"/>
      <w:r w:rsidRPr="00987A52">
        <w:rPr>
          <w:rFonts w:ascii="Times New Roman" w:eastAsia="BICDC G+ MTSY" w:hAnsi="Times New Roman" w:cs="Times New Roman"/>
          <w:sz w:val="24"/>
          <w:szCs w:val="24"/>
        </w:rPr>
        <w:t xml:space="preserve">, </w:t>
      </w:r>
      <w:proofErr w:type="spellStart"/>
      <w:r w:rsidRPr="00987A52">
        <w:rPr>
          <w:rFonts w:ascii="Times New Roman" w:eastAsia="BICDC G+ MTSY" w:hAnsi="Times New Roman" w:cs="Times New Roman"/>
          <w:sz w:val="24"/>
          <w:szCs w:val="24"/>
        </w:rPr>
        <w:t>Murugan</w:t>
      </w:r>
      <w:proofErr w:type="spellEnd"/>
      <w:r w:rsidRPr="00987A52">
        <w:rPr>
          <w:rFonts w:ascii="Times New Roman" w:eastAsia="BICDC G+ MTSY" w:hAnsi="Times New Roman" w:cs="Times New Roman"/>
          <w:sz w:val="24"/>
          <w:szCs w:val="24"/>
        </w:rPr>
        <w:t xml:space="preserve"> A. </w:t>
      </w:r>
      <w:proofErr w:type="spellStart"/>
      <w:r w:rsidRPr="00987A52">
        <w:rPr>
          <w:rFonts w:ascii="Times New Roman" w:eastAsia="BICDC G+ MTSY" w:hAnsi="Times New Roman" w:cs="Times New Roman"/>
          <w:sz w:val="24"/>
          <w:szCs w:val="24"/>
        </w:rPr>
        <w:t>Munusamy</w:t>
      </w:r>
      <w:r w:rsidRPr="00987A52">
        <w:rPr>
          <w:rFonts w:ascii="Times New Roman" w:eastAsia="BICDC G+ MTSY" w:hAnsi="Times New Roman" w:cs="Times New Roman"/>
          <w:sz w:val="24"/>
          <w:szCs w:val="24"/>
          <w:vertAlign w:val="superscript"/>
        </w:rPr>
        <w:t>f</w:t>
      </w:r>
      <w:proofErr w:type="spellEnd"/>
      <w:r w:rsidRPr="00987A52">
        <w:rPr>
          <w:rFonts w:ascii="Times New Roman" w:eastAsia="BICDC G+ MTSY" w:hAnsi="Times New Roman" w:cs="Times New Roman"/>
          <w:sz w:val="24"/>
          <w:szCs w:val="24"/>
        </w:rPr>
        <w:t xml:space="preserve">, Abdullah A. </w:t>
      </w:r>
      <w:proofErr w:type="spellStart"/>
      <w:r w:rsidRPr="00987A52">
        <w:rPr>
          <w:rFonts w:ascii="Times New Roman" w:eastAsia="BICDC G+ MTSY" w:hAnsi="Times New Roman" w:cs="Times New Roman"/>
          <w:sz w:val="24"/>
          <w:szCs w:val="24"/>
        </w:rPr>
        <w:t>Alarfaj</w:t>
      </w:r>
      <w:r w:rsidRPr="00987A52">
        <w:rPr>
          <w:rFonts w:ascii="Times New Roman" w:eastAsia="BICDC G+ MTSY" w:hAnsi="Times New Roman" w:cs="Times New Roman"/>
          <w:sz w:val="24"/>
          <w:szCs w:val="24"/>
          <w:vertAlign w:val="superscript"/>
        </w:rPr>
        <w:t>f</w:t>
      </w:r>
      <w:proofErr w:type="spellEnd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987A52" w:rsidP="00987A52">
      <w:pPr>
        <w:pStyle w:val="Heading3"/>
        <w:spacing w:before="74"/>
        <w:jc w:val="both"/>
      </w:pP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Thermoresponsive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surfaces enable the detachment of cells or cell sheets by decreasing the temperature of the surface when harvesting the cells. However, human pluripotent stem cells (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hPSCs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), such as embryonic stem cells and induced pluripotent stem cells, cannot be directly cultured on a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thermoresponsive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surface;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hPSCs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need a specific extracellular matrix to bind to the integrin receptors on their surfaces. We prepared a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thermoresponsive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surface by using poly (N -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isopropylacrylamide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-co-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butylacrylate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) and recombinant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vit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-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ronectin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to provide an optimal coating concentration for the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hPSC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culture. </w:t>
      </w:r>
      <w:proofErr w:type="spellStart"/>
      <w:proofErr w:type="gram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hPSCs</w:t>
      </w:r>
      <w:proofErr w:type="spellEnd"/>
      <w:proofErr w:type="gram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can be cultured on the same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thermoresponsive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surface for 5 passages by partial detachment of the cells from the surface by de- creasing the temperature for 30 min; then, the remaining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hPSCs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 xml:space="preserve"> were subsequently cultured on the same dishes following the addition of new cultivation media. The detached cells, even after continual culture for five passages, showed high </w:t>
      </w:r>
      <w:proofErr w:type="spellStart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pluripotency</w:t>
      </w:r>
      <w:proofErr w:type="spellEnd"/>
      <w:r w:rsidRPr="00AE29A8">
        <w:rPr>
          <w:rFonts w:ascii="Tw Cen MT" w:eastAsia="Tw Cen MT" w:hAnsi="Tw Cen MT" w:cs="Tw Cen MT"/>
          <w:b w:val="0"/>
          <w:bCs w:val="0"/>
          <w:sz w:val="24"/>
          <w:szCs w:val="24"/>
        </w:rPr>
        <w:t>, the ability to differentiate into cells derived from the 3 germ layers and the ability to undergo cardiac differentiation.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C70DCC">
      <w:pPr>
        <w:pStyle w:val="BodyText"/>
        <w:spacing w:before="2"/>
        <w:rPr>
          <w:rFonts w:ascii="Arial"/>
          <w:b/>
          <w:sz w:val="16"/>
        </w:rPr>
      </w:pPr>
      <w:r w:rsidRPr="00C70DCC">
        <w:rPr>
          <w:rFonts w:ascii="Arial"/>
          <w:b/>
          <w:noProof/>
          <w:sz w:val="16"/>
        </w:rPr>
        <w:drawing>
          <wp:inline distT="0" distB="0" distL="0" distR="0">
            <wp:extent cx="3165475" cy="348017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48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DCC" w:rsidRDefault="00C70DCC" w:rsidP="00C70DCC">
      <w:pPr>
        <w:spacing w:line="204" w:lineRule="exact"/>
        <w:ind w:left="100"/>
        <w:rPr>
          <w:rFonts w:ascii="BICCB K+ Gulliver" w:hAnsi="BICCB K+ Gulliver" w:cs="BICCB K+ Gulliver"/>
          <w:sz w:val="12"/>
          <w:szCs w:val="12"/>
        </w:rPr>
      </w:pPr>
      <w:proofErr w:type="gramStart"/>
      <w:r>
        <w:rPr>
          <w:b/>
          <w:bCs/>
          <w:sz w:val="12"/>
          <w:szCs w:val="12"/>
        </w:rPr>
        <w:t>Fig. 3.</w:t>
      </w:r>
      <w:proofErr w:type="gramEnd"/>
      <w:r>
        <w:rPr>
          <w:b/>
          <w:bCs/>
          <w:sz w:val="12"/>
          <w:szCs w:val="12"/>
        </w:rPr>
        <w:t xml:space="preserve"> </w:t>
      </w:r>
      <w:proofErr w:type="gramStart"/>
      <w:r>
        <w:rPr>
          <w:rFonts w:ascii="BICCB K+ Gulliver" w:hAnsi="BICCB K+ Gulliver" w:cs="BICCB K+ Gulliver"/>
          <w:sz w:val="12"/>
          <w:szCs w:val="12"/>
        </w:rPr>
        <w:t>The response of the hydrophobicity-</w:t>
      </w:r>
      <w:proofErr w:type="spellStart"/>
      <w:r>
        <w:rPr>
          <w:rFonts w:ascii="BICCB K+ Gulliver" w:hAnsi="BICCB K+ Gulliver" w:cs="BICCB K+ Gulliver"/>
          <w:sz w:val="12"/>
          <w:szCs w:val="12"/>
        </w:rPr>
        <w:t>hydrophilicity</w:t>
      </w:r>
      <w:proofErr w:type="spellEnd"/>
      <w:r>
        <w:rPr>
          <w:rFonts w:ascii="BICCB K+ Gulliver" w:hAnsi="BICCB K+ Gulliver" w:cs="BICCB K+ Gulliver"/>
          <w:sz w:val="12"/>
          <w:szCs w:val="12"/>
        </w:rPr>
        <w:t xml:space="preserve"> of the </w:t>
      </w:r>
      <w:proofErr w:type="spellStart"/>
      <w:r>
        <w:rPr>
          <w:rFonts w:ascii="BICCB K+ Gulliver" w:hAnsi="BICCB K+ Gulliver" w:cs="BICCB K+ Gulliver"/>
          <w:sz w:val="12"/>
          <w:szCs w:val="12"/>
        </w:rPr>
        <w:t>thermoresponsive</w:t>
      </w:r>
      <w:proofErr w:type="spellEnd"/>
      <w:r>
        <w:rPr>
          <w:rFonts w:ascii="BICCB K+ Gulliver" w:hAnsi="BICCB K+ Gulliver" w:cs="BICCB K+ Gulliver"/>
          <w:sz w:val="12"/>
          <w:szCs w:val="12"/>
        </w:rPr>
        <w:t xml:space="preserve"> PN88-coated plates to temperature.</w:t>
      </w:r>
      <w:proofErr w:type="gramEnd"/>
      <w:r>
        <w:rPr>
          <w:rFonts w:ascii="BICCB K+ Gulliver" w:hAnsi="BICCB K+ Gulliver" w:cs="BICCB K+ Gulliver"/>
          <w:sz w:val="12"/>
          <w:szCs w:val="12"/>
        </w:rPr>
        <w:t xml:space="preserve"> (A) Photos of water droplets evaluated by the sessile drop method performed on the TCP, </w:t>
      </w:r>
      <w:proofErr w:type="gramStart"/>
      <w:r>
        <w:rPr>
          <w:rFonts w:ascii="BICCB K+ Gulliver" w:hAnsi="BICCB K+ Gulliver" w:cs="BICCB K+ Gulliver"/>
          <w:sz w:val="12"/>
          <w:szCs w:val="12"/>
        </w:rPr>
        <w:t>PN88(</w:t>
      </w:r>
      <w:proofErr w:type="gramEnd"/>
      <w:r>
        <w:rPr>
          <w:rFonts w:ascii="BICCB K+ Gulliver" w:hAnsi="BICCB K+ Gulliver" w:cs="BICCB K+ Gulliver"/>
          <w:sz w:val="12"/>
          <w:szCs w:val="12"/>
        </w:rPr>
        <w:t xml:space="preserve">1)-TCP, PN88(3)-TCP, PN88(5.5)-TCP, PN88(8)-TCP, PN88(10.5)-TCP, PN88(13)-TCP plates at 37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 and 9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C. (B) Photos of water droplets evaluated by the sessile drop assay performed on the TCP, rVN-PN88(1)-TCP, rVN-PN88(3)-TCP, rVN-PN88(5.5)-TCP, rVN-PN88(8)-TCP, rVN-PN88(10.5)-TCP, </w:t>
      </w:r>
      <w:proofErr w:type="spellStart"/>
      <w:r>
        <w:rPr>
          <w:rFonts w:ascii="BICCB K+ Gulliver" w:hAnsi="BICCB K+ Gulliver" w:cs="BICCB K+ Gulliver"/>
          <w:sz w:val="12"/>
          <w:szCs w:val="12"/>
        </w:rPr>
        <w:t>rVN</w:t>
      </w:r>
      <w:proofErr w:type="spellEnd"/>
      <w:r>
        <w:rPr>
          <w:rFonts w:ascii="BICCB K+ Gulliver" w:hAnsi="BICCB K+ Gulliver" w:cs="BICCB K+ Gulliver"/>
          <w:sz w:val="12"/>
          <w:szCs w:val="12"/>
        </w:rPr>
        <w:t xml:space="preserve">- PN88(13)-TCP plates at 37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 and 9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C. (C) The water contact angle on the TCP, </w:t>
      </w:r>
      <w:proofErr w:type="gramStart"/>
      <w:r>
        <w:rPr>
          <w:rFonts w:ascii="BICCB K+ Gulliver" w:hAnsi="BICCB K+ Gulliver" w:cs="BICCB K+ Gulliver"/>
          <w:sz w:val="12"/>
          <w:szCs w:val="12"/>
        </w:rPr>
        <w:t>PN88(</w:t>
      </w:r>
      <w:proofErr w:type="gramEnd"/>
      <w:r>
        <w:rPr>
          <w:rFonts w:ascii="BICCB K+ Gulliver" w:hAnsi="BICCB K+ Gulliver" w:cs="BICCB K+ Gulliver"/>
          <w:sz w:val="12"/>
          <w:szCs w:val="12"/>
        </w:rPr>
        <w:t xml:space="preserve">1)-TCP, PN88(3)-TCP, PN88(5.5)-TCP, PN88(8)-TCP, PN88(10.5)-TCP, PN88(13)-TCP plates at 37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 (red circle) and 9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 (blue square). (D) The water contact angle on the </w:t>
      </w:r>
      <w:proofErr w:type="spellStart"/>
      <w:r>
        <w:rPr>
          <w:rFonts w:ascii="BICCB K+ Gulliver" w:hAnsi="BICCB K+ Gulliver" w:cs="BICCB K+ Gulliver"/>
          <w:sz w:val="12"/>
          <w:szCs w:val="12"/>
        </w:rPr>
        <w:t>rVN</w:t>
      </w:r>
      <w:proofErr w:type="spellEnd"/>
      <w:r>
        <w:rPr>
          <w:rFonts w:ascii="BICCB K+ Gulliver" w:hAnsi="BICCB K+ Gulliver" w:cs="BICCB K+ Gulliver"/>
          <w:sz w:val="12"/>
          <w:szCs w:val="12"/>
        </w:rPr>
        <w:t xml:space="preserve">-TCP, rVN-PN88(1)-TCP, rVN-PN88(3)-TCP, rVN-PN88(5.5)-TCP, rVN-PN88(8)-TCP, </w:t>
      </w:r>
      <w:proofErr w:type="spellStart"/>
      <w:r>
        <w:rPr>
          <w:rFonts w:ascii="BICCB K+ Gulliver" w:hAnsi="BICCB K+ Gulliver" w:cs="BICCB K+ Gulliver"/>
          <w:sz w:val="12"/>
          <w:szCs w:val="12"/>
        </w:rPr>
        <w:t>rVN</w:t>
      </w:r>
      <w:proofErr w:type="spellEnd"/>
      <w:r>
        <w:rPr>
          <w:rFonts w:ascii="BICCB K+ Gulliver" w:hAnsi="BICCB K+ Gulliver" w:cs="BICCB K+ Gulliver"/>
          <w:sz w:val="12"/>
          <w:szCs w:val="12"/>
        </w:rPr>
        <w:t xml:space="preserve">- PN88(10.5)-TCP, and rVN-PN88(13)-TCP plates at 37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 xml:space="preserve">C (red circle) and 9 </w:t>
      </w:r>
      <w:r>
        <w:rPr>
          <w:rFonts w:ascii="BICDM H+ Times New Roman PSMT" w:hAnsi="BICDM H+ Times New Roman PSMT" w:cs="BICDM H+ Times New Roman PSMT"/>
          <w:sz w:val="12"/>
          <w:szCs w:val="12"/>
        </w:rPr>
        <w:t>°</w:t>
      </w:r>
      <w:r>
        <w:rPr>
          <w:rFonts w:ascii="BICCB K+ Gulliver" w:hAnsi="BICCB K+ Gulliver" w:cs="BICCB K+ Gulliver"/>
          <w:sz w:val="12"/>
          <w:szCs w:val="12"/>
        </w:rPr>
        <w:t>C (blue square).</w:t>
      </w:r>
    </w:p>
    <w:p w:rsidR="005973B9" w:rsidRDefault="005973B9" w:rsidP="00C70DCC">
      <w:pPr>
        <w:spacing w:line="204" w:lineRule="exact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A65A57" w:rsidP="00A65A5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A65A57">
        <w:rPr>
          <w:sz w:val="18"/>
        </w:rPr>
        <w:t>Tian</w:t>
      </w:r>
      <w:proofErr w:type="spellEnd"/>
      <w:r w:rsidRPr="00A65A57">
        <w:rPr>
          <w:sz w:val="18"/>
        </w:rPr>
        <w:t xml:space="preserve">, Z; Wang, CK; Lin, FL; Liu, Q; Wang, T; Sung, TC; </w:t>
      </w:r>
      <w:proofErr w:type="spellStart"/>
      <w:r w:rsidRPr="00A65A57">
        <w:rPr>
          <w:sz w:val="18"/>
        </w:rPr>
        <w:t>Alarfaj</w:t>
      </w:r>
      <w:proofErr w:type="spellEnd"/>
      <w:r w:rsidRPr="00A65A57">
        <w:rPr>
          <w:sz w:val="18"/>
        </w:rPr>
        <w:t xml:space="preserve">, AA; </w:t>
      </w:r>
      <w:proofErr w:type="spellStart"/>
      <w:r w:rsidRPr="00C70DCC">
        <w:rPr>
          <w:b/>
          <w:bCs/>
          <w:sz w:val="18"/>
        </w:rPr>
        <w:t>Hirad</w:t>
      </w:r>
      <w:proofErr w:type="spellEnd"/>
      <w:r w:rsidRPr="00C70DCC">
        <w:rPr>
          <w:b/>
          <w:bCs/>
          <w:sz w:val="18"/>
        </w:rPr>
        <w:t>, AH</w:t>
      </w:r>
      <w:r w:rsidRPr="00A65A57">
        <w:rPr>
          <w:sz w:val="18"/>
        </w:rPr>
        <w:t>; Lee, HHC; Wu, GJ</w:t>
      </w:r>
      <w:r>
        <w:rPr>
          <w:sz w:val="18"/>
        </w:rPr>
        <w:t xml:space="preserve">; Higuchi, A. </w:t>
      </w:r>
      <w:r w:rsidR="00987A52" w:rsidRPr="00987A52">
        <w:rPr>
          <w:sz w:val="18"/>
        </w:rPr>
        <w:t>(2022). Effect of extracellular matrix proteins on the differentiation of human pluripotent stem cells into mesenchymal stem cells. Journal of Materials Chemistry B.</w:t>
      </w:r>
      <w:r w:rsidR="00987A52">
        <w:rPr>
          <w:sz w:val="18"/>
        </w:rPr>
        <w:t xml:space="preserve"> </w:t>
      </w:r>
    </w:p>
    <w:p w:rsidR="005973B9" w:rsidRDefault="00A65A57" w:rsidP="00A65A5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A65A57">
        <w:rPr>
          <w:sz w:val="18"/>
        </w:rPr>
        <w:t>Nirmaladevi</w:t>
      </w:r>
      <w:proofErr w:type="spellEnd"/>
      <w:r w:rsidRPr="00A65A57">
        <w:rPr>
          <w:sz w:val="18"/>
        </w:rPr>
        <w:t xml:space="preserve">, J., </w:t>
      </w:r>
      <w:proofErr w:type="spellStart"/>
      <w:r w:rsidRPr="00A65A57">
        <w:rPr>
          <w:sz w:val="18"/>
        </w:rPr>
        <w:t>Vidhyalakshmi</w:t>
      </w:r>
      <w:proofErr w:type="spellEnd"/>
      <w:r w:rsidRPr="00A65A57">
        <w:rPr>
          <w:sz w:val="18"/>
        </w:rPr>
        <w:t xml:space="preserve">, M., Edwin, E. B., </w:t>
      </w:r>
      <w:proofErr w:type="spellStart"/>
      <w:r w:rsidRPr="00A65A57">
        <w:rPr>
          <w:sz w:val="18"/>
        </w:rPr>
        <w:t>Venkateswaran</w:t>
      </w:r>
      <w:proofErr w:type="spellEnd"/>
      <w:r w:rsidRPr="00A65A57">
        <w:rPr>
          <w:sz w:val="18"/>
        </w:rPr>
        <w:t xml:space="preserve">, N., </w:t>
      </w:r>
      <w:proofErr w:type="spellStart"/>
      <w:r w:rsidRPr="00A65A57">
        <w:rPr>
          <w:sz w:val="18"/>
        </w:rPr>
        <w:t>Avasthi</w:t>
      </w:r>
      <w:proofErr w:type="spellEnd"/>
      <w:r w:rsidRPr="00A65A57">
        <w:rPr>
          <w:sz w:val="18"/>
        </w:rPr>
        <w:t xml:space="preserve">, V., </w:t>
      </w:r>
      <w:proofErr w:type="spellStart"/>
      <w:r w:rsidRPr="00A65A57">
        <w:rPr>
          <w:sz w:val="18"/>
        </w:rPr>
        <w:t>Alarfaj</w:t>
      </w:r>
      <w:proofErr w:type="spellEnd"/>
      <w:r w:rsidRPr="00A65A57">
        <w:rPr>
          <w:sz w:val="18"/>
        </w:rPr>
        <w:t xml:space="preserve">, A. A., </w:t>
      </w:r>
      <w:proofErr w:type="spellStart"/>
      <w:r w:rsidRPr="00C70DCC">
        <w:rPr>
          <w:b/>
          <w:bCs/>
          <w:sz w:val="18"/>
        </w:rPr>
        <w:t>Hirad</w:t>
      </w:r>
      <w:proofErr w:type="spellEnd"/>
      <w:r w:rsidRPr="00C70DCC">
        <w:rPr>
          <w:b/>
          <w:bCs/>
          <w:sz w:val="18"/>
        </w:rPr>
        <w:t>, A. A.</w:t>
      </w:r>
      <w:r w:rsidRPr="00A65A57">
        <w:rPr>
          <w:sz w:val="18"/>
        </w:rPr>
        <w:t xml:space="preserve"> &amp; </w:t>
      </w:r>
      <w:proofErr w:type="spellStart"/>
      <w:r w:rsidRPr="00A65A57">
        <w:rPr>
          <w:sz w:val="18"/>
        </w:rPr>
        <w:t>Hailu</w:t>
      </w:r>
      <w:proofErr w:type="spellEnd"/>
      <w:r w:rsidRPr="00A65A57">
        <w:rPr>
          <w:sz w:val="18"/>
        </w:rPr>
        <w:t xml:space="preserve">, T. (2022). Deep Convolutional Neural Network Mechanism Assessment of COVID-19 Severity. </w:t>
      </w:r>
      <w:proofErr w:type="spellStart"/>
      <w:r w:rsidRPr="00A65A57">
        <w:rPr>
          <w:sz w:val="18"/>
        </w:rPr>
        <w:t>BioMed</w:t>
      </w:r>
      <w:proofErr w:type="spellEnd"/>
      <w:r w:rsidRPr="00A65A57">
        <w:rPr>
          <w:sz w:val="18"/>
        </w:rPr>
        <w:t xml:space="preserve"> Research International.</w:t>
      </w:r>
      <w:r>
        <w:rPr>
          <w:sz w:val="18"/>
        </w:rPr>
        <w:t xml:space="preserve"> </w:t>
      </w:r>
    </w:p>
    <w:p w:rsidR="00C70DCC" w:rsidRDefault="00C70DCC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>3.</w:t>
      </w:r>
      <w:r w:rsidRPr="00C70DCC">
        <w:t xml:space="preserve"> </w:t>
      </w:r>
      <w:proofErr w:type="spellStart"/>
      <w:r w:rsidRPr="00C70DCC">
        <w:rPr>
          <w:rFonts w:ascii="Calibri" w:eastAsia="Calibri" w:hAnsi="Calibri" w:cs="Calibri"/>
          <w:b/>
          <w:bCs/>
          <w:szCs w:val="22"/>
        </w:rPr>
        <w:t>Hirad</w:t>
      </w:r>
      <w:proofErr w:type="spellEnd"/>
      <w:r w:rsidRPr="00C70DCC">
        <w:rPr>
          <w:rFonts w:ascii="Calibri" w:eastAsia="Calibri" w:hAnsi="Calibri" w:cs="Calibri"/>
          <w:b/>
          <w:bCs/>
          <w:szCs w:val="22"/>
        </w:rPr>
        <w:t>, A. H.</w:t>
      </w:r>
      <w:r w:rsidRPr="00C70DCC">
        <w:rPr>
          <w:rFonts w:ascii="Calibri" w:eastAsia="Calibri" w:hAnsi="Calibri" w:cs="Calibri"/>
          <w:szCs w:val="22"/>
        </w:rPr>
        <w:t xml:space="preserve">, Ansari, S. A., Ali, M. A. E., &amp; </w:t>
      </w:r>
      <w:proofErr w:type="spellStart"/>
      <w:r w:rsidRPr="00C70DCC">
        <w:rPr>
          <w:rFonts w:ascii="Calibri" w:eastAsia="Calibri" w:hAnsi="Calibri" w:cs="Calibri"/>
          <w:szCs w:val="22"/>
        </w:rPr>
        <w:t>Egeh</w:t>
      </w:r>
      <w:proofErr w:type="spellEnd"/>
      <w:r w:rsidRPr="00C70DCC">
        <w:rPr>
          <w:rFonts w:ascii="Calibri" w:eastAsia="Calibri" w:hAnsi="Calibri" w:cs="Calibri"/>
          <w:szCs w:val="22"/>
        </w:rPr>
        <w:t xml:space="preserve">, M. A. (2022). Microwave-mediated synthesis of iron oxide nanoparticles: </w:t>
      </w:r>
      <w:proofErr w:type="spellStart"/>
      <w:r w:rsidRPr="00C70DCC">
        <w:rPr>
          <w:rFonts w:ascii="Calibri" w:eastAsia="Calibri" w:hAnsi="Calibri" w:cs="Calibri"/>
          <w:szCs w:val="22"/>
        </w:rPr>
        <w:t>Photocatalytic</w:t>
      </w:r>
      <w:proofErr w:type="spellEnd"/>
      <w:r w:rsidRPr="00C70DCC">
        <w:rPr>
          <w:rFonts w:ascii="Calibri" w:eastAsia="Calibri" w:hAnsi="Calibri" w:cs="Calibri"/>
          <w:szCs w:val="22"/>
        </w:rPr>
        <w:t>, antimicrobial and their cytotoxicity assessment. Process Biochemistry, 118, 205-214.</w:t>
      </w:r>
    </w:p>
    <w:p w:rsidR="00C70DCC" w:rsidRDefault="00C70DCC" w:rsidP="00C70DCC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 xml:space="preserve">  4. </w:t>
      </w:r>
      <w:r w:rsidRPr="00C70DCC">
        <w:rPr>
          <w:rFonts w:ascii="Calibri" w:eastAsia="Calibri" w:hAnsi="Calibri" w:cs="Calibri"/>
          <w:szCs w:val="22"/>
        </w:rPr>
        <w:t xml:space="preserve">Sung, T. C., </w:t>
      </w:r>
      <w:proofErr w:type="spellStart"/>
      <w:r w:rsidRPr="00C70DCC">
        <w:rPr>
          <w:rFonts w:ascii="Calibri" w:eastAsia="Calibri" w:hAnsi="Calibri" w:cs="Calibri"/>
          <w:szCs w:val="22"/>
        </w:rPr>
        <w:t>Heish</w:t>
      </w:r>
      <w:proofErr w:type="spellEnd"/>
      <w:r w:rsidRPr="00C70DCC">
        <w:rPr>
          <w:rFonts w:ascii="Calibri" w:eastAsia="Calibri" w:hAnsi="Calibri" w:cs="Calibri"/>
          <w:szCs w:val="22"/>
        </w:rPr>
        <w:t xml:space="preserve">, C. W., Lee, H. H. C., Hsu, J. Y., Wang, C. K., Wang, J. H., Zhu, YR; Jen, SH; Hsu, ST; </w:t>
      </w:r>
      <w:proofErr w:type="spellStart"/>
      <w:r w:rsidRPr="00C70DCC">
        <w:rPr>
          <w:rFonts w:ascii="Calibri" w:eastAsia="Calibri" w:hAnsi="Calibri" w:cs="Calibri"/>
          <w:b/>
          <w:bCs/>
          <w:szCs w:val="22"/>
        </w:rPr>
        <w:t>Hirad</w:t>
      </w:r>
      <w:proofErr w:type="spellEnd"/>
      <w:r w:rsidRPr="00C70DCC">
        <w:rPr>
          <w:rFonts w:ascii="Calibri" w:eastAsia="Calibri" w:hAnsi="Calibri" w:cs="Calibri"/>
          <w:b/>
          <w:bCs/>
          <w:szCs w:val="22"/>
        </w:rPr>
        <w:t>, AH</w:t>
      </w:r>
      <w:r w:rsidRPr="00C70DCC">
        <w:rPr>
          <w:rFonts w:ascii="Calibri" w:eastAsia="Calibri" w:hAnsi="Calibri" w:cs="Calibri"/>
          <w:szCs w:val="22"/>
        </w:rPr>
        <w:t xml:space="preserve">; </w:t>
      </w:r>
      <w:proofErr w:type="spellStart"/>
      <w:r w:rsidRPr="00C70DCC">
        <w:rPr>
          <w:rFonts w:ascii="Calibri" w:eastAsia="Calibri" w:hAnsi="Calibri" w:cs="Calibri"/>
          <w:szCs w:val="22"/>
        </w:rPr>
        <w:t>Alarfaj</w:t>
      </w:r>
      <w:proofErr w:type="spellEnd"/>
      <w:r w:rsidRPr="00C70DCC">
        <w:rPr>
          <w:rFonts w:ascii="Calibri" w:eastAsia="Calibri" w:hAnsi="Calibri" w:cs="Calibri"/>
          <w:szCs w:val="22"/>
        </w:rPr>
        <w:t xml:space="preserve">, AA &amp; Higuchi, A. (2021). 3D culturing of human adipose-derived stem cells enhances their </w:t>
      </w:r>
      <w:proofErr w:type="spellStart"/>
      <w:r w:rsidRPr="00C70DCC">
        <w:rPr>
          <w:rFonts w:ascii="Calibri" w:eastAsia="Calibri" w:hAnsi="Calibri" w:cs="Calibri"/>
          <w:szCs w:val="22"/>
        </w:rPr>
        <w:t>pluripotency</w:t>
      </w:r>
      <w:proofErr w:type="spellEnd"/>
      <w:r w:rsidRPr="00C70DCC">
        <w:rPr>
          <w:rFonts w:ascii="Calibri" w:eastAsia="Calibri" w:hAnsi="Calibri" w:cs="Calibri"/>
          <w:szCs w:val="22"/>
        </w:rPr>
        <w:t xml:space="preserve"> and differentiation abilities. Journal of Materials Science &amp; Technology, 63, 9-17.</w:t>
      </w:r>
      <w:r>
        <w:rPr>
          <w:rFonts w:ascii="Calibri" w:eastAsia="Calibri" w:hAnsi="Calibri" w:cs="Calibri"/>
          <w:szCs w:val="22"/>
        </w:rPr>
        <w:t xml:space="preserve">  </w:t>
      </w:r>
    </w:p>
    <w:p w:rsidR="00A65A57" w:rsidRDefault="00C70DCC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eastAsia="Calibri" w:hAnsi="Calibri" w:cs="Calibri"/>
          <w:szCs w:val="22"/>
        </w:rPr>
        <w:t xml:space="preserve">5.  </w:t>
      </w:r>
      <w:r w:rsidR="00A65A57" w:rsidRPr="00A65A57">
        <w:rPr>
          <w:rFonts w:ascii="Calibri" w:eastAsia="Calibri" w:hAnsi="Calibri" w:cs="Calibri"/>
          <w:szCs w:val="22"/>
        </w:rPr>
        <w:t xml:space="preserve">Higuchi, </w:t>
      </w:r>
      <w:r w:rsidR="00A65A57" w:rsidRPr="00C70DCC">
        <w:rPr>
          <w:rFonts w:ascii="Calibri" w:eastAsia="Calibri" w:hAnsi="Calibri" w:cs="Calibri"/>
          <w:b/>
          <w:bCs/>
          <w:szCs w:val="22"/>
        </w:rPr>
        <w:t xml:space="preserve">A., </w:t>
      </w:r>
      <w:proofErr w:type="spellStart"/>
      <w:r w:rsidR="00A65A57" w:rsidRPr="00C70DCC">
        <w:rPr>
          <w:rFonts w:ascii="Calibri" w:eastAsia="Calibri" w:hAnsi="Calibri" w:cs="Calibri"/>
          <w:b/>
          <w:bCs/>
          <w:szCs w:val="22"/>
        </w:rPr>
        <w:t>Hirad</w:t>
      </w:r>
      <w:proofErr w:type="spellEnd"/>
      <w:r w:rsidR="00A65A57" w:rsidRPr="00A65A57">
        <w:rPr>
          <w:rFonts w:ascii="Calibri" w:eastAsia="Calibri" w:hAnsi="Calibri" w:cs="Calibri"/>
          <w:szCs w:val="22"/>
        </w:rPr>
        <w:t xml:space="preserve">, A. H., Kumar, S. S., </w:t>
      </w:r>
      <w:proofErr w:type="spellStart"/>
      <w:r w:rsidR="00A65A57" w:rsidRPr="00A65A57">
        <w:rPr>
          <w:rFonts w:ascii="Calibri" w:eastAsia="Calibri" w:hAnsi="Calibri" w:cs="Calibri"/>
          <w:szCs w:val="22"/>
        </w:rPr>
        <w:t>Munusamy</w:t>
      </w:r>
      <w:proofErr w:type="spellEnd"/>
      <w:r w:rsidR="00A65A57" w:rsidRPr="00A65A57">
        <w:rPr>
          <w:rFonts w:ascii="Calibri" w:eastAsia="Calibri" w:hAnsi="Calibri" w:cs="Calibri"/>
          <w:szCs w:val="22"/>
        </w:rPr>
        <w:t xml:space="preserve">, M. A., &amp; </w:t>
      </w:r>
      <w:proofErr w:type="spellStart"/>
      <w:r w:rsidR="00A65A57" w:rsidRPr="00A65A57">
        <w:rPr>
          <w:rFonts w:ascii="Calibri" w:eastAsia="Calibri" w:hAnsi="Calibri" w:cs="Calibri"/>
          <w:szCs w:val="22"/>
        </w:rPr>
        <w:t>Alarfaj</w:t>
      </w:r>
      <w:proofErr w:type="spellEnd"/>
      <w:r w:rsidR="00A65A57" w:rsidRPr="00A65A57">
        <w:rPr>
          <w:rFonts w:ascii="Calibri" w:eastAsia="Calibri" w:hAnsi="Calibri" w:cs="Calibri"/>
          <w:szCs w:val="22"/>
        </w:rPr>
        <w:t xml:space="preserve">, A. A. (2020). </w:t>
      </w:r>
      <w:proofErr w:type="spellStart"/>
      <w:r w:rsidR="00A65A57" w:rsidRPr="00A65A57">
        <w:rPr>
          <w:rFonts w:ascii="Calibri" w:eastAsia="Calibri" w:hAnsi="Calibri" w:cs="Calibri"/>
          <w:szCs w:val="22"/>
        </w:rPr>
        <w:t>Thermoresponsive</w:t>
      </w:r>
      <w:proofErr w:type="spellEnd"/>
      <w:r w:rsidR="00A65A57" w:rsidRPr="00A65A57">
        <w:rPr>
          <w:rFonts w:ascii="Calibri" w:eastAsia="Calibri" w:hAnsi="Calibri" w:cs="Calibri"/>
          <w:szCs w:val="22"/>
        </w:rPr>
        <w:t xml:space="preserve"> surfaces designed for the proliferation and differentiation of human pluripotent stem cells. </w:t>
      </w:r>
      <w:proofErr w:type="spellStart"/>
      <w:proofErr w:type="gramStart"/>
      <w:r w:rsidR="00A65A57" w:rsidRPr="00A65A57">
        <w:rPr>
          <w:rFonts w:ascii="Calibri" w:eastAsia="Calibri" w:hAnsi="Calibri" w:cs="Calibri"/>
          <w:szCs w:val="22"/>
        </w:rPr>
        <w:t>Acta</w:t>
      </w:r>
      <w:proofErr w:type="spellEnd"/>
      <w:r w:rsidR="00A65A57" w:rsidRPr="00A65A57">
        <w:rPr>
          <w:rFonts w:ascii="Calibri" w:eastAsia="Calibri" w:hAnsi="Calibri" w:cs="Calibri"/>
          <w:szCs w:val="22"/>
        </w:rPr>
        <w:t xml:space="preserve"> </w:t>
      </w:r>
      <w:proofErr w:type="spellStart"/>
      <w:r w:rsidR="00A65A57" w:rsidRPr="00A65A57">
        <w:rPr>
          <w:rFonts w:ascii="Calibri" w:eastAsia="Calibri" w:hAnsi="Calibri" w:cs="Calibri"/>
          <w:szCs w:val="22"/>
        </w:rPr>
        <w:t>biomaterialia</w:t>
      </w:r>
      <w:proofErr w:type="spellEnd"/>
      <w:r w:rsidR="00A65A57" w:rsidRPr="00A65A57">
        <w:rPr>
          <w:rFonts w:ascii="Calibri" w:eastAsia="Calibri" w:hAnsi="Calibri" w:cs="Calibri"/>
          <w:szCs w:val="22"/>
        </w:rPr>
        <w:t>, 116, 162-173.</w:t>
      </w:r>
      <w:proofErr w:type="gramEnd"/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23D1C97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C70DCC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5096965</wp:posOffset>
            </wp:positionH>
            <wp:positionV relativeFrom="paragraph">
              <wp:posOffset>58420</wp:posOffset>
            </wp:positionV>
            <wp:extent cx="1511300" cy="59436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1C46" w:rsidRDefault="00201C46" w:rsidP="00C70DCC">
      <w:pPr>
        <w:spacing w:before="62"/>
        <w:ind w:left="4217" w:right="4235"/>
        <w:jc w:val="center"/>
        <w:rPr>
          <w:rFonts w:ascii="Arial"/>
          <w:sz w:val="14"/>
        </w:rPr>
      </w:pPr>
    </w:p>
    <w:p w:rsidR="00AE29A8" w:rsidRPr="00AE29A8" w:rsidRDefault="00AE29A8" w:rsidP="00AE29A8">
      <w:pPr>
        <w:tabs>
          <w:tab w:val="left" w:pos="1042"/>
        </w:tabs>
        <w:jc w:val="both"/>
        <w:rPr>
          <w:rFonts w:ascii="Minion Pro"/>
          <w:bCs/>
          <w:sz w:val="24"/>
          <w:szCs w:val="24"/>
        </w:rPr>
      </w:pPr>
      <w:r w:rsidRPr="00AE29A8">
        <w:rPr>
          <w:rFonts w:ascii="Minion Pro"/>
          <w:bCs/>
          <w:sz w:val="24"/>
          <w:szCs w:val="24"/>
        </w:rPr>
        <w:t>I have been actively involved in research mainly in the field of Molecular Microbiology, Nano-biotechnology, Environmental and Applied Microbiology. In a more general, sense my research interest spans across the following fields: biological sciences, industrial microbiology, medical biotechnology, materials sciences, environmental biotechnology, industrial biotechnology, nanotechnology, medical Biotechnology, and molecular microbiology.</w:t>
      </w:r>
    </w:p>
    <w:p w:rsidR="00AE3E37" w:rsidRPr="00AE29A8" w:rsidRDefault="00A9710C" w:rsidP="00AE29A8">
      <w:pPr>
        <w:spacing w:before="62"/>
        <w:ind w:left="2970" w:right="3690"/>
        <w:rPr>
          <w:rFonts w:ascii="Arial"/>
          <w:szCs w:val="36"/>
        </w:rPr>
      </w:pPr>
      <w:r w:rsidRPr="00AE29A8">
        <w:rPr>
          <w:rFonts w:ascii="Arial"/>
          <w:szCs w:val="36"/>
        </w:rPr>
        <w:t xml:space="preserve">Email: </w:t>
      </w:r>
      <w:hyperlink r:id="rId12" w:history="1">
        <w:r w:rsidR="00C70DCC" w:rsidRPr="00AE29A8">
          <w:rPr>
            <w:rStyle w:val="Hyperlink"/>
            <w:rFonts w:ascii="Arial"/>
            <w:szCs w:val="36"/>
          </w:rPr>
          <w:t>ahirad@ksu.edu.sa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726DE1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201C46" w:rsidRPr="00201C46" w:rsidRDefault="00201C46" w:rsidP="00201C46">
      <w:pPr>
        <w:rPr>
          <w:rFonts w:ascii="Minion Pro"/>
          <w:sz w:val="26"/>
        </w:rPr>
      </w:pPr>
    </w:p>
    <w:sectPr w:rsidR="00201C46" w:rsidRPr="00201C46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FA5" w:rsidRDefault="00597FA5">
      <w:r>
        <w:separator/>
      </w:r>
    </w:p>
  </w:endnote>
  <w:endnote w:type="continuationSeparator" w:id="0">
    <w:p w:rsidR="00597FA5" w:rsidRDefault="005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CCB K+ Gulliver">
    <w:altName w:val="Gullive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CDC G+ MTSY">
    <w:altName w:val="Malgun Gothic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ICDM H+ Times New Roman 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987A52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987A52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987A52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987A52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987A52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987A52">
                      <w:rPr>
                        <w:rFonts w:ascii="Arial"/>
                        <w:color w:val="FFFFFF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987A52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987A52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987A52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437E56F9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987A52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987A52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987A52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987A52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987A52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987A52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987A52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987A52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5D6ACFB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987A52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987A52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:rsidR="00AE3E37" w:rsidRPr="00987A52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987A52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FA5" w:rsidRDefault="00597FA5">
      <w:r>
        <w:separator/>
      </w:r>
    </w:p>
  </w:footnote>
  <w:footnote w:type="continuationSeparator" w:id="0">
    <w:p w:rsidR="00597FA5" w:rsidRDefault="005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8669F"/>
    <w:rsid w:val="00201C46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97FA5"/>
    <w:rsid w:val="005B3A56"/>
    <w:rsid w:val="006060CE"/>
    <w:rsid w:val="00607E01"/>
    <w:rsid w:val="0061505C"/>
    <w:rsid w:val="0063497F"/>
    <w:rsid w:val="00714354"/>
    <w:rsid w:val="00873DF0"/>
    <w:rsid w:val="008756E6"/>
    <w:rsid w:val="00883695"/>
    <w:rsid w:val="00897EC5"/>
    <w:rsid w:val="008A0763"/>
    <w:rsid w:val="008E5477"/>
    <w:rsid w:val="00987A52"/>
    <w:rsid w:val="009B2D44"/>
    <w:rsid w:val="009C1CD3"/>
    <w:rsid w:val="00A07E82"/>
    <w:rsid w:val="00A52075"/>
    <w:rsid w:val="00A65A57"/>
    <w:rsid w:val="00A9710C"/>
    <w:rsid w:val="00AE29A8"/>
    <w:rsid w:val="00AE3E37"/>
    <w:rsid w:val="00B21A57"/>
    <w:rsid w:val="00BE6743"/>
    <w:rsid w:val="00C33602"/>
    <w:rsid w:val="00C56C74"/>
    <w:rsid w:val="00C70DCC"/>
    <w:rsid w:val="00CD6F55"/>
    <w:rsid w:val="00DE3104"/>
    <w:rsid w:val="00DE6170"/>
    <w:rsid w:val="00E30AAC"/>
    <w:rsid w:val="00E95D97"/>
    <w:rsid w:val="00EA7D51"/>
    <w:rsid w:val="00F046EA"/>
    <w:rsid w:val="00F2096C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hirad@ksu.edu.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AP Aquaculture Fishies</cp:lastModifiedBy>
  <cp:revision>2</cp:revision>
  <dcterms:created xsi:type="dcterms:W3CDTF">2022-10-07T09:32:00Z</dcterms:created>
  <dcterms:modified xsi:type="dcterms:W3CDTF">2022-10-07T09:32:00Z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