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FAE" w:rsidRPr="00DF6DF9" w:rsidRDefault="00032FAE" w:rsidP="00032FAE">
      <w:pPr>
        <w:jc w:val="center"/>
        <w:rPr>
          <w:rFonts w:ascii="Times New Roman" w:hAnsi="Times New Roman" w:cs="Times New Roman"/>
          <w:b/>
          <w:bCs/>
          <w:iCs/>
          <w:color w:val="92CDDC" w:themeColor="accent5" w:themeTint="99"/>
          <w:sz w:val="28"/>
          <w:szCs w:val="28"/>
        </w:rPr>
      </w:pPr>
      <w:r w:rsidRPr="00DF6DF9">
        <w:rPr>
          <w:rFonts w:ascii="Minion Pro" w:hAnsi="Minion Pro" w:cs="Times New Roman"/>
          <w:b/>
          <w:bCs/>
          <w:iCs/>
          <w:color w:val="92CDDC" w:themeColor="accent5" w:themeTint="99"/>
          <w:sz w:val="36"/>
          <w:szCs w:val="36"/>
        </w:rPr>
        <w:t>Hydroxyapatite bioceramics doped with ions for orthopedic and dentistry su</w:t>
      </w:r>
      <w:r w:rsidR="006B26D4">
        <w:rPr>
          <w:rFonts w:ascii="Minion Pro" w:hAnsi="Minion Pro" w:cs="Times New Roman"/>
          <w:b/>
          <w:bCs/>
          <w:iCs/>
          <w:color w:val="92CDDC" w:themeColor="accent5" w:themeTint="99"/>
          <w:sz w:val="36"/>
          <w:szCs w:val="36"/>
        </w:rPr>
        <w:t>r</w:t>
      </w:r>
      <w:r w:rsidRPr="00DF6DF9">
        <w:rPr>
          <w:rFonts w:ascii="Minion Pro" w:hAnsi="Minion Pro" w:cs="Times New Roman"/>
          <w:b/>
          <w:bCs/>
          <w:iCs/>
          <w:color w:val="92CDDC" w:themeColor="accent5" w:themeTint="99"/>
          <w:sz w:val="36"/>
          <w:szCs w:val="36"/>
        </w:rPr>
        <w:t>gery</w:t>
      </w:r>
    </w:p>
    <w:p w:rsidR="00DF6DF9" w:rsidRPr="00A129D9" w:rsidRDefault="00DF6DF9" w:rsidP="00DF6DF9">
      <w:pPr>
        <w:jc w:val="center"/>
        <w:rPr>
          <w:rFonts w:ascii="Times New Roman" w:hAnsi="Times New Roman" w:cs="Times New Roman"/>
          <w:iCs/>
          <w:sz w:val="24"/>
        </w:rPr>
      </w:pPr>
    </w:p>
    <w:p w:rsidR="006B26D4" w:rsidRDefault="006B26D4" w:rsidP="006B26D4">
      <w:pPr>
        <w:rPr>
          <w:rFonts w:asciiTheme="minorBidi" w:hAnsiTheme="minorBidi" w:cstheme="minorBidi"/>
          <w:iCs/>
          <w:sz w:val="18"/>
          <w:szCs w:val="18"/>
        </w:rPr>
      </w:pPr>
      <w:r>
        <w:rPr>
          <w:rFonts w:asciiTheme="minorBidi" w:hAnsiTheme="minorBidi" w:cstheme="minorBidi"/>
          <w:iCs/>
          <w:sz w:val="18"/>
          <w:szCs w:val="18"/>
        </w:rPr>
        <w:t>Mustapha Hidouri,</w:t>
      </w:r>
    </w:p>
    <w:p w:rsidR="006B26D4" w:rsidRDefault="00DF6DF9" w:rsidP="006B26D4">
      <w:pPr>
        <w:rPr>
          <w:rFonts w:asciiTheme="minorBidi" w:hAnsiTheme="minorBidi" w:cstheme="minorBidi"/>
          <w:iCs/>
          <w:sz w:val="18"/>
          <w:szCs w:val="18"/>
        </w:rPr>
      </w:pPr>
      <w:r>
        <w:rPr>
          <w:rFonts w:ascii="Arial"/>
          <w:noProof/>
          <w:sz w:val="20"/>
          <w:lang w:val="en-IN" w:eastAsia="en-IN"/>
        </w:rPr>
        <w:drawing>
          <wp:anchor distT="0" distB="0" distL="114300" distR="114300" simplePos="0" relativeHeight="251658240" behindDoc="0" locked="0" layoutInCell="1" allowOverlap="1" wp14:anchorId="49B24E7B" wp14:editId="58798EF0">
            <wp:simplePos x="0" y="0"/>
            <wp:positionH relativeFrom="column">
              <wp:posOffset>3293745</wp:posOffset>
            </wp:positionH>
            <wp:positionV relativeFrom="paragraph">
              <wp:posOffset>30480</wp:posOffset>
            </wp:positionV>
            <wp:extent cx="3267075" cy="1743075"/>
            <wp:effectExtent l="19050" t="0" r="9525" b="0"/>
            <wp:wrapSquare wrapText="bothSides"/>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267075" cy="1743075"/>
                    </a:xfrm>
                    <a:prstGeom prst="rect">
                      <a:avLst/>
                    </a:prstGeom>
                    <a:noFill/>
                    <a:ln w="9525">
                      <a:noFill/>
                      <a:miter lim="800000"/>
                      <a:headEnd/>
                      <a:tailEnd/>
                    </a:ln>
                  </pic:spPr>
                </pic:pic>
              </a:graphicData>
            </a:graphic>
          </wp:anchor>
        </w:drawing>
      </w:r>
    </w:p>
    <w:p w:rsidR="00AE3E37" w:rsidRPr="006B26D4" w:rsidRDefault="006B26D4" w:rsidP="006B26D4">
      <w:pPr>
        <w:rPr>
          <w:rFonts w:asciiTheme="minorBidi" w:hAnsiTheme="minorBidi" w:cstheme="minorBidi"/>
          <w:iCs/>
          <w:sz w:val="18"/>
          <w:szCs w:val="18"/>
        </w:rPr>
        <w:sectPr w:rsidR="00AE3E37" w:rsidRPr="006B26D4" w:rsidSect="008E5477">
          <w:footerReference w:type="default" r:id="rId8"/>
          <w:type w:val="continuous"/>
          <w:pgSz w:w="11910" w:h="16840"/>
          <w:pgMar w:top="995" w:right="600" w:bottom="840" w:left="620" w:header="0" w:footer="0" w:gutter="0"/>
          <w:cols w:space="720"/>
          <w:docGrid w:linePitch="299"/>
        </w:sectPr>
      </w:pPr>
      <w:r w:rsidRPr="00DF6DF9">
        <w:rPr>
          <w:rFonts w:asciiTheme="minorBidi" w:hAnsiTheme="minorBidi" w:cstheme="minorBidi"/>
          <w:iCs/>
          <w:sz w:val="18"/>
          <w:szCs w:val="18"/>
        </w:rPr>
        <w:t>Gabes University</w:t>
      </w:r>
      <w:r>
        <w:rPr>
          <w:rFonts w:asciiTheme="minorBidi" w:hAnsiTheme="minorBidi" w:cstheme="minorBidi"/>
          <w:iCs/>
          <w:sz w:val="18"/>
          <w:szCs w:val="18"/>
        </w:rPr>
        <w:t xml:space="preserve">,  </w:t>
      </w:r>
      <w:r w:rsidRPr="00DF6DF9">
        <w:rPr>
          <w:rFonts w:asciiTheme="minorBidi" w:hAnsiTheme="minorBidi" w:cstheme="minorBidi"/>
          <w:iCs/>
          <w:sz w:val="18"/>
          <w:szCs w:val="18"/>
        </w:rPr>
        <w:t>Tunisia</w:t>
      </w:r>
    </w:p>
    <w:p w:rsidR="006B26D4" w:rsidRDefault="006B26D4" w:rsidP="006B26D4">
      <w:pPr>
        <w:pStyle w:val="Heading3"/>
        <w:spacing w:before="147"/>
        <w:ind w:left="0"/>
        <w:jc w:val="both"/>
        <w:rPr>
          <w:color w:val="BF5A14"/>
        </w:rPr>
      </w:pPr>
    </w:p>
    <w:p w:rsidR="00AE3E37" w:rsidRDefault="00A9710C" w:rsidP="00032FAE">
      <w:pPr>
        <w:pStyle w:val="Heading3"/>
        <w:spacing w:before="147"/>
        <w:jc w:val="both"/>
      </w:pPr>
      <w:r>
        <w:rPr>
          <w:color w:val="BF5A14"/>
        </w:rPr>
        <w:t>Abstract</w:t>
      </w:r>
      <w:r w:rsidR="00404E5B">
        <w:rPr>
          <w:color w:val="BF5A14"/>
        </w:rPr>
        <w:t xml:space="preserve"> </w:t>
      </w:r>
    </w:p>
    <w:p w:rsidR="00032FAE" w:rsidRDefault="00032FAE" w:rsidP="00032FAE">
      <w:pPr>
        <w:spacing w:line="360" w:lineRule="auto"/>
        <w:jc w:val="both"/>
      </w:pPr>
    </w:p>
    <w:p w:rsidR="00032FAE" w:rsidRPr="00032FAE" w:rsidRDefault="00032FAE" w:rsidP="00032FAE">
      <w:pPr>
        <w:spacing w:line="360" w:lineRule="auto"/>
        <w:jc w:val="both"/>
        <w:rPr>
          <w:rFonts w:cs="Times New Roman"/>
          <w:iCs/>
          <w:sz w:val="18"/>
          <w:szCs w:val="18"/>
        </w:rPr>
      </w:pPr>
      <w:r w:rsidRPr="00032FAE">
        <w:rPr>
          <w:rFonts w:cs="Times New Roman"/>
          <w:iCs/>
          <w:sz w:val="18"/>
          <w:szCs w:val="18"/>
        </w:rPr>
        <w:t xml:space="preserve">Bioceramics designed to replace failing bone, teeth and dentins have two important properties: biocompatibility and the ability to absorb at a rate comparable to bone growth. Because of its close similarity </w:t>
      </w:r>
      <w:bookmarkStart w:id="0" w:name="_GoBack"/>
      <w:bookmarkEnd w:id="0"/>
      <w:r w:rsidRPr="00032FAE">
        <w:rPr>
          <w:rFonts w:cs="Times New Roman"/>
          <w:iCs/>
          <w:sz w:val="18"/>
          <w:szCs w:val="18"/>
        </w:rPr>
        <w:t>to the inorganic mineral components of the bone and teeth, calcium phosphate, and particularly hydroxyapatite (HAp, Ca</w:t>
      </w:r>
      <w:r w:rsidRPr="00032FAE">
        <w:rPr>
          <w:rFonts w:cs="Times New Roman"/>
          <w:iCs/>
          <w:sz w:val="18"/>
          <w:szCs w:val="18"/>
          <w:vertAlign w:val="subscript"/>
        </w:rPr>
        <w:t>10</w:t>
      </w:r>
      <w:r w:rsidRPr="00032FAE">
        <w:rPr>
          <w:rFonts w:cs="Times New Roman"/>
          <w:iCs/>
          <w:sz w:val="18"/>
          <w:szCs w:val="18"/>
        </w:rPr>
        <w:t>(PO</w:t>
      </w:r>
      <w:r w:rsidRPr="00032FAE">
        <w:rPr>
          <w:rFonts w:cs="Times New Roman"/>
          <w:iCs/>
          <w:sz w:val="18"/>
          <w:szCs w:val="18"/>
          <w:vertAlign w:val="subscript"/>
        </w:rPr>
        <w:t>4</w:t>
      </w:r>
      <w:r w:rsidRPr="00032FAE">
        <w:rPr>
          <w:rFonts w:cs="Times New Roman"/>
          <w:iCs/>
          <w:sz w:val="18"/>
          <w:szCs w:val="18"/>
        </w:rPr>
        <w:t>)</w:t>
      </w:r>
      <w:r w:rsidRPr="00032FAE">
        <w:rPr>
          <w:rFonts w:cs="Times New Roman"/>
          <w:iCs/>
          <w:sz w:val="18"/>
          <w:szCs w:val="18"/>
          <w:vertAlign w:val="subscript"/>
        </w:rPr>
        <w:t>6</w:t>
      </w:r>
      <w:r w:rsidRPr="00032FAE">
        <w:rPr>
          <w:rFonts w:cs="Times New Roman"/>
          <w:iCs/>
          <w:sz w:val="18"/>
          <w:szCs w:val="18"/>
        </w:rPr>
        <w:t>OH</w:t>
      </w:r>
      <w:r w:rsidRPr="00032FAE">
        <w:rPr>
          <w:rFonts w:cs="Times New Roman"/>
          <w:iCs/>
          <w:sz w:val="18"/>
          <w:szCs w:val="18"/>
          <w:vertAlign w:val="subscript"/>
        </w:rPr>
        <w:t>2</w:t>
      </w:r>
      <w:r w:rsidRPr="00032FAE">
        <w:rPr>
          <w:rFonts w:cs="Times New Roman"/>
          <w:iCs/>
          <w:sz w:val="18"/>
          <w:szCs w:val="18"/>
        </w:rPr>
        <w:t>), is the most widely used bioceramics in a variety of biomedical applications, most notably orthopedics and dental repair. Indeed, due to the complexity of the chemistry of bone and dentine, which contain multiple elements, no identical to natural material has been discovered. All existing research has attempted to obtain the most comparable material. Several attempts have been made to introduce as many ions as possible into the structure of the HAp. As a result, magnesium Mg</w:t>
      </w:r>
      <w:r w:rsidRPr="00032FAE">
        <w:rPr>
          <w:rFonts w:cs="Times New Roman"/>
          <w:iCs/>
          <w:sz w:val="18"/>
          <w:szCs w:val="18"/>
          <w:vertAlign w:val="superscript"/>
        </w:rPr>
        <w:t>2+</w:t>
      </w:r>
      <w:r w:rsidRPr="00032FAE">
        <w:rPr>
          <w:rFonts w:cs="Times New Roman"/>
          <w:iCs/>
          <w:sz w:val="18"/>
          <w:szCs w:val="18"/>
        </w:rPr>
        <w:t>, strontium Sr</w:t>
      </w:r>
      <w:r w:rsidRPr="00032FAE">
        <w:rPr>
          <w:rFonts w:cs="Times New Roman"/>
          <w:iCs/>
          <w:sz w:val="18"/>
          <w:szCs w:val="18"/>
          <w:vertAlign w:val="superscript"/>
        </w:rPr>
        <w:t>2+</w:t>
      </w:r>
      <w:r w:rsidRPr="00032FAE">
        <w:rPr>
          <w:rFonts w:cs="Times New Roman"/>
          <w:iCs/>
          <w:sz w:val="18"/>
          <w:szCs w:val="18"/>
        </w:rPr>
        <w:t>, zinc Zn</w:t>
      </w:r>
      <w:r w:rsidRPr="00032FAE">
        <w:rPr>
          <w:rFonts w:cs="Times New Roman"/>
          <w:iCs/>
          <w:sz w:val="18"/>
          <w:szCs w:val="18"/>
          <w:vertAlign w:val="superscript"/>
        </w:rPr>
        <w:t>2+</w:t>
      </w:r>
      <w:r w:rsidRPr="00032FAE">
        <w:rPr>
          <w:rFonts w:cs="Times New Roman"/>
          <w:iCs/>
          <w:sz w:val="18"/>
          <w:szCs w:val="18"/>
        </w:rPr>
        <w:t>, sodium Na</w:t>
      </w:r>
      <w:r w:rsidRPr="00032FAE">
        <w:rPr>
          <w:rFonts w:cs="Times New Roman"/>
          <w:iCs/>
          <w:sz w:val="18"/>
          <w:szCs w:val="18"/>
          <w:vertAlign w:val="superscript"/>
        </w:rPr>
        <w:t>+</w:t>
      </w:r>
      <w:r w:rsidRPr="00032FAE">
        <w:rPr>
          <w:rFonts w:cs="Times New Roman"/>
          <w:iCs/>
          <w:sz w:val="18"/>
          <w:szCs w:val="18"/>
        </w:rPr>
        <w:t>, potassium K</w:t>
      </w:r>
      <w:r w:rsidRPr="00032FAE">
        <w:rPr>
          <w:rFonts w:cs="Times New Roman"/>
          <w:iCs/>
          <w:sz w:val="18"/>
          <w:szCs w:val="18"/>
          <w:vertAlign w:val="superscript"/>
        </w:rPr>
        <w:t>+</w:t>
      </w:r>
      <w:r w:rsidRPr="00032FAE">
        <w:rPr>
          <w:rFonts w:cs="Times New Roman"/>
          <w:iCs/>
          <w:sz w:val="18"/>
          <w:szCs w:val="18"/>
        </w:rPr>
        <w:t>, carbonates CO</w:t>
      </w:r>
      <w:r w:rsidRPr="00032FAE">
        <w:rPr>
          <w:rFonts w:cs="Times New Roman"/>
          <w:iCs/>
          <w:sz w:val="18"/>
          <w:szCs w:val="18"/>
          <w:vertAlign w:val="subscript"/>
        </w:rPr>
        <w:t>3</w:t>
      </w:r>
      <w:r w:rsidRPr="00032FAE">
        <w:rPr>
          <w:rFonts w:cs="Times New Roman"/>
          <w:iCs/>
          <w:sz w:val="18"/>
          <w:szCs w:val="18"/>
          <w:vertAlign w:val="superscript"/>
        </w:rPr>
        <w:t>2-</w:t>
      </w:r>
      <w:r w:rsidRPr="00032FAE">
        <w:rPr>
          <w:rFonts w:cs="Times New Roman"/>
          <w:iCs/>
          <w:sz w:val="18"/>
          <w:szCs w:val="18"/>
        </w:rPr>
        <w:t>, fluorures F</w:t>
      </w:r>
      <w:r w:rsidRPr="00032FAE">
        <w:rPr>
          <w:rFonts w:cs="Times New Roman"/>
          <w:iCs/>
          <w:sz w:val="18"/>
          <w:szCs w:val="18"/>
          <w:vertAlign w:val="superscript"/>
        </w:rPr>
        <w:t>-</w:t>
      </w:r>
      <w:r w:rsidRPr="00032FAE">
        <w:rPr>
          <w:rFonts w:cs="Times New Roman"/>
          <w:iCs/>
          <w:sz w:val="18"/>
          <w:szCs w:val="18"/>
        </w:rPr>
        <w:t>, and chlorine ions Cl</w:t>
      </w:r>
      <w:r w:rsidRPr="00032FAE">
        <w:rPr>
          <w:rFonts w:cs="Times New Roman"/>
          <w:iCs/>
          <w:sz w:val="18"/>
          <w:szCs w:val="18"/>
          <w:vertAlign w:val="superscript"/>
        </w:rPr>
        <w:t>-</w:t>
      </w:r>
      <w:r w:rsidRPr="00032FAE">
        <w:rPr>
          <w:rFonts w:cs="Times New Roman"/>
          <w:iCs/>
          <w:sz w:val="18"/>
          <w:szCs w:val="18"/>
        </w:rPr>
        <w:t xml:space="preserve"> have been incorporated into the apatite structure. Several techniques (DRX, FTIR, chemistry analysis, G-DTA, RMN 31P, Raman, SEM,...) were used to verify the purity of the materials and confirm the ions' incorporation into the structure. The materials were pressure-less sintered, and the densification conditions were optimized. The densest materials have also been mechanically characterized. The biological properties of</w:t>
      </w:r>
      <w:r w:rsidRPr="00032FAE">
        <w:rPr>
          <w:sz w:val="18"/>
          <w:szCs w:val="18"/>
        </w:rPr>
        <w:t xml:space="preserve"> </w:t>
      </w:r>
      <w:r w:rsidRPr="00032FAE">
        <w:rPr>
          <w:rFonts w:cs="Times New Roman"/>
          <w:iCs/>
          <w:sz w:val="18"/>
          <w:szCs w:val="18"/>
        </w:rPr>
        <w:t>dense bodies have been tested in vitro, and the bioactivity and biocomtability of the materials have been determined. In the final stage, the appropriate materials were tested in vitro for their potential use as implants.</w:t>
      </w:r>
    </w:p>
    <w:p w:rsidR="00AE3E37" w:rsidRPr="00DF6DF9" w:rsidRDefault="00032FAE" w:rsidP="00DF6DF9">
      <w:pPr>
        <w:pStyle w:val="Heading3"/>
        <w:spacing w:before="74"/>
        <w:rPr>
          <w:b w:val="0"/>
          <w:bCs w:val="0"/>
          <w:sz w:val="16"/>
          <w:szCs w:val="16"/>
        </w:rPr>
      </w:pPr>
      <w:r>
        <w:rPr>
          <w:b w:val="0"/>
          <w:noProof/>
          <w:lang w:val="en-IN" w:eastAsia="en-IN"/>
        </w:rPr>
        <w:drawing>
          <wp:anchor distT="0" distB="0" distL="114300" distR="114300" simplePos="0" relativeHeight="251661312" behindDoc="0" locked="0" layoutInCell="1" allowOverlap="1">
            <wp:simplePos x="0" y="0"/>
            <wp:positionH relativeFrom="column">
              <wp:posOffset>-31750</wp:posOffset>
            </wp:positionH>
            <wp:positionV relativeFrom="paragraph">
              <wp:posOffset>33020</wp:posOffset>
            </wp:positionV>
            <wp:extent cx="923925" cy="847725"/>
            <wp:effectExtent l="19050" t="0" r="9525" b="0"/>
            <wp:wrapSquare wrapText="bothSides"/>
            <wp:docPr id="2" name="Image 1" descr="C:\Users\RACHID\Desktop\archive\Pictures\photo Hidou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CHID\Desktop\archive\Pictures\photo Hidouri.png"/>
                    <pic:cNvPicPr>
                      <a:picLocks noChangeAspect="1" noChangeArrowheads="1"/>
                    </pic:cNvPicPr>
                  </pic:nvPicPr>
                  <pic:blipFill>
                    <a:blip r:embed="rId9" cstate="print"/>
                    <a:srcRect/>
                    <a:stretch>
                      <a:fillRect/>
                    </a:stretch>
                  </pic:blipFill>
                  <pic:spPr bwMode="auto">
                    <a:xfrm>
                      <a:off x="0" y="0"/>
                      <a:ext cx="923925" cy="847725"/>
                    </a:xfrm>
                    <a:prstGeom prst="rect">
                      <a:avLst/>
                    </a:prstGeom>
                    <a:noFill/>
                    <a:ln w="9525">
                      <a:noFill/>
                      <a:miter lim="800000"/>
                      <a:headEnd/>
                      <a:tailEnd/>
                    </a:ln>
                  </pic:spPr>
                </pic:pic>
              </a:graphicData>
            </a:graphic>
          </wp:anchor>
        </w:drawing>
      </w:r>
      <w:r w:rsidR="00A9710C">
        <w:rPr>
          <w:b w:val="0"/>
        </w:rPr>
        <w:br w:type="column"/>
      </w:r>
      <w:r w:rsidR="00DF6DF9" w:rsidRPr="00DF6DF9">
        <w:rPr>
          <w:b w:val="0"/>
          <w:bCs w:val="0"/>
          <w:sz w:val="16"/>
          <w:szCs w:val="16"/>
        </w:rPr>
        <w:t xml:space="preserve">Figure 1. </w:t>
      </w:r>
      <w:r w:rsidR="00DF6DF9">
        <w:rPr>
          <w:b w:val="0"/>
          <w:bCs w:val="0"/>
          <w:sz w:val="16"/>
          <w:szCs w:val="16"/>
        </w:rPr>
        <w:t>Densification, mechanical and biological characterization of  multiple substituted hydroxyapatite bioceramics</w:t>
      </w:r>
    </w:p>
    <w:p w:rsidR="00AE3E37" w:rsidRDefault="00AE3E37">
      <w:pPr>
        <w:pStyle w:val="BodyText"/>
        <w:spacing w:before="2"/>
        <w:rPr>
          <w:rFonts w:ascii="Arial"/>
          <w:b/>
          <w:sz w:val="16"/>
        </w:rPr>
      </w:pPr>
    </w:p>
    <w:p w:rsidR="005973B9" w:rsidRDefault="005973B9" w:rsidP="002A48C5">
      <w:pPr>
        <w:spacing w:line="204" w:lineRule="exact"/>
        <w:rPr>
          <w:rFonts w:ascii="Arial"/>
          <w:b/>
          <w:sz w:val="20"/>
        </w:rPr>
      </w:pPr>
      <w:r>
        <w:rPr>
          <w:rFonts w:ascii="Arial"/>
          <w:b/>
          <w:color w:val="BF5A14"/>
          <w:sz w:val="20"/>
        </w:rPr>
        <w:br/>
        <w:t xml:space="preserve">Recent Publications </w:t>
      </w:r>
    </w:p>
    <w:p w:rsidR="005973B9" w:rsidRPr="001A19B2" w:rsidRDefault="00551B3F" w:rsidP="005973B9">
      <w:pPr>
        <w:pStyle w:val="ListParagraph"/>
        <w:numPr>
          <w:ilvl w:val="0"/>
          <w:numId w:val="3"/>
        </w:numPr>
        <w:tabs>
          <w:tab w:val="left" w:pos="384"/>
        </w:tabs>
        <w:spacing w:before="103" w:line="216" w:lineRule="exact"/>
        <w:ind w:right="137" w:hanging="283"/>
      </w:pPr>
      <w:r w:rsidRPr="001A19B2">
        <w:rPr>
          <w:rFonts w:asciiTheme="minorHAnsi" w:hAnsiTheme="minorHAnsi" w:cstheme="majorBidi"/>
          <w:shd w:val="clear" w:color="auto" w:fill="FFFFFF"/>
        </w:rPr>
        <w:t>Ben Slimen J, Mehnaoui M, Jebahi S, Boughzala K, Hidouri M(</w:t>
      </w:r>
      <w:r w:rsidRPr="001A19B2">
        <w:rPr>
          <w:rFonts w:asciiTheme="minorHAnsi" w:hAnsiTheme="minorHAnsi" w:cstheme="majorBidi"/>
          <w:b/>
          <w:bCs/>
          <w:shd w:val="clear" w:color="auto" w:fill="FFFFFF"/>
        </w:rPr>
        <w:t>2022</w:t>
      </w:r>
      <w:r w:rsidRPr="001A19B2">
        <w:rPr>
          <w:rFonts w:asciiTheme="minorHAnsi" w:hAnsiTheme="minorHAnsi" w:cstheme="majorBidi"/>
          <w:shd w:val="clear" w:color="auto" w:fill="FFFFFF"/>
        </w:rPr>
        <w:t xml:space="preserve">), Thermal and structural properties of sodium, potassium and carbonate doped strontium hydroxyfluorapatite, Journal of the Indian Chemical Society, 99-6100475, </w:t>
      </w:r>
    </w:p>
    <w:p w:rsidR="005973B9" w:rsidRPr="001A19B2" w:rsidRDefault="00551B3F" w:rsidP="00551B3F">
      <w:pPr>
        <w:pStyle w:val="ListParagraph"/>
        <w:numPr>
          <w:ilvl w:val="0"/>
          <w:numId w:val="3"/>
        </w:numPr>
        <w:tabs>
          <w:tab w:val="left" w:pos="384"/>
        </w:tabs>
        <w:spacing w:before="92" w:line="218" w:lineRule="exact"/>
        <w:ind w:right="138" w:hanging="283"/>
      </w:pPr>
      <w:r w:rsidRPr="001A19B2">
        <w:rPr>
          <w:rFonts w:asciiTheme="minorHAnsi" w:hAnsiTheme="minorHAnsi" w:cstheme="majorBidi"/>
          <w:shd w:val="clear" w:color="auto" w:fill="FFFFFF"/>
        </w:rPr>
        <w:t>Kthiri K, Mehnaoui M, Hidouri M, Boughzala K(</w:t>
      </w:r>
      <w:r w:rsidRPr="001A19B2">
        <w:rPr>
          <w:rFonts w:asciiTheme="minorHAnsi" w:hAnsiTheme="minorHAnsi" w:cstheme="majorBidi"/>
          <w:b/>
          <w:bCs/>
          <w:shd w:val="clear" w:color="auto" w:fill="FFFFFF"/>
        </w:rPr>
        <w:t>2022</w:t>
      </w:r>
      <w:r w:rsidRPr="001A19B2">
        <w:rPr>
          <w:rFonts w:asciiTheme="minorHAnsi" w:hAnsiTheme="minorHAnsi" w:cstheme="majorBidi"/>
          <w:shd w:val="clear" w:color="auto" w:fill="FFFFFF"/>
        </w:rPr>
        <w:t>), Comparative Evaluation of Industrial Phosphoric Acids Desulfation Capabilities of Limes and Barium Carbonate. </w:t>
      </w:r>
      <w:r w:rsidRPr="001A19B2">
        <w:rPr>
          <w:rFonts w:asciiTheme="minorHAnsi" w:hAnsiTheme="minorHAnsi" w:cstheme="majorBidi"/>
          <w:i/>
          <w:iCs/>
          <w:shd w:val="clear" w:color="auto" w:fill="FFFFFF"/>
        </w:rPr>
        <w:t>International Research Journal of Pure and Applied Chemistry</w:t>
      </w:r>
      <w:r w:rsidRPr="001A19B2">
        <w:rPr>
          <w:rFonts w:asciiTheme="minorHAnsi" w:hAnsiTheme="minorHAnsi" w:cstheme="majorBidi"/>
          <w:shd w:val="clear" w:color="auto" w:fill="FFFFFF"/>
        </w:rPr>
        <w:t>, </w:t>
      </w:r>
      <w:r w:rsidRPr="001A19B2">
        <w:rPr>
          <w:rFonts w:asciiTheme="minorHAnsi" w:hAnsiTheme="minorHAnsi" w:cstheme="majorBidi"/>
          <w:i/>
          <w:iCs/>
          <w:shd w:val="clear" w:color="auto" w:fill="FFFFFF"/>
        </w:rPr>
        <w:t>23:</w:t>
      </w:r>
      <w:r w:rsidRPr="001A19B2">
        <w:rPr>
          <w:rFonts w:asciiTheme="minorHAnsi" w:hAnsiTheme="minorHAnsi" w:cstheme="majorBidi"/>
          <w:shd w:val="clear" w:color="auto" w:fill="FFFFFF"/>
        </w:rPr>
        <w:t xml:space="preserve">17-27 </w:t>
      </w:r>
    </w:p>
    <w:p w:rsidR="001A19B2" w:rsidRPr="001A19B2" w:rsidRDefault="001A19B2" w:rsidP="002A48C5">
      <w:pPr>
        <w:pStyle w:val="ListParagraph"/>
        <w:numPr>
          <w:ilvl w:val="0"/>
          <w:numId w:val="3"/>
        </w:numPr>
        <w:tabs>
          <w:tab w:val="left" w:pos="384"/>
        </w:tabs>
        <w:spacing w:before="92" w:line="218" w:lineRule="exact"/>
        <w:ind w:hanging="283"/>
      </w:pPr>
      <w:r w:rsidRPr="001A19B2">
        <w:rPr>
          <w:rFonts w:asciiTheme="minorHAnsi" w:hAnsiTheme="minorHAnsi" w:cstheme="majorBidi"/>
        </w:rPr>
        <w:t>Mohamedou Ba , Ezzeddine A, Dorohzkin S V , Hidouri M (</w:t>
      </w:r>
      <w:r w:rsidRPr="001A19B2">
        <w:rPr>
          <w:rFonts w:asciiTheme="minorHAnsi" w:hAnsiTheme="minorHAnsi" w:cstheme="majorBidi"/>
          <w:b/>
          <w:bCs/>
        </w:rPr>
        <w:t>2022</w:t>
      </w:r>
      <w:r w:rsidRPr="001A19B2">
        <w:rPr>
          <w:rFonts w:asciiTheme="minorHAnsi" w:hAnsiTheme="minorHAnsi" w:cstheme="majorBidi"/>
        </w:rPr>
        <w:t>), Application of the Doehlert design for the defluornation of industrial wastewater by adsorption onto natural clay, Desalination and Water Treatment  1</w:t>
      </w:r>
      <w:r w:rsidR="002A48C5">
        <w:rPr>
          <w:rFonts w:asciiTheme="minorHAnsi" w:hAnsiTheme="minorHAnsi" w:cstheme="majorBidi"/>
        </w:rPr>
        <w:t>-</w:t>
      </w:r>
      <w:r w:rsidRPr="001A19B2">
        <w:rPr>
          <w:rFonts w:asciiTheme="minorHAnsi" w:hAnsiTheme="minorHAnsi" w:cstheme="majorBidi"/>
        </w:rPr>
        <w:t>10</w:t>
      </w:r>
      <w:r w:rsidR="002A48C5">
        <w:rPr>
          <w:rFonts w:asciiTheme="minorHAnsi" w:hAnsiTheme="minorHAnsi" w:cstheme="majorBidi"/>
        </w:rPr>
        <w:t>.</w:t>
      </w:r>
      <w:r w:rsidRPr="001A19B2">
        <w:t xml:space="preserve"> </w:t>
      </w:r>
    </w:p>
    <w:p w:rsidR="001A19B2" w:rsidRPr="001A19B2" w:rsidRDefault="001A19B2" w:rsidP="002A48C5">
      <w:pPr>
        <w:pStyle w:val="ListParagraph"/>
        <w:numPr>
          <w:ilvl w:val="0"/>
          <w:numId w:val="3"/>
        </w:numPr>
        <w:tabs>
          <w:tab w:val="left" w:pos="384"/>
        </w:tabs>
        <w:spacing w:before="92" w:line="218" w:lineRule="exact"/>
        <w:ind w:hanging="283"/>
        <w:rPr>
          <w:rFonts w:asciiTheme="minorHAnsi" w:hAnsiTheme="minorHAnsi"/>
        </w:rPr>
      </w:pPr>
      <w:r w:rsidRPr="001A19B2">
        <w:rPr>
          <w:rFonts w:asciiTheme="minorHAnsi" w:hAnsiTheme="minorHAnsi" w:cstheme="majorBidi"/>
        </w:rPr>
        <w:t>Jbahi S, Zagrouba M, Hajji S, Raoufi A, Hidouri M</w:t>
      </w:r>
      <w:r w:rsidR="002A48C5">
        <w:rPr>
          <w:rFonts w:asciiTheme="minorHAnsi" w:hAnsiTheme="minorHAnsi" w:cstheme="majorBidi"/>
        </w:rPr>
        <w:t xml:space="preserve"> </w:t>
      </w:r>
      <w:r w:rsidR="002A48C5" w:rsidRPr="002A48C5">
        <w:rPr>
          <w:rFonts w:asciiTheme="minorHAnsi" w:hAnsiTheme="minorHAnsi" w:cstheme="majorBidi"/>
        </w:rPr>
        <w:t>(2022)</w:t>
      </w:r>
      <w:r w:rsidRPr="001A19B2">
        <w:rPr>
          <w:rFonts w:asciiTheme="minorHAnsi" w:hAnsiTheme="minorHAnsi" w:cstheme="majorBidi"/>
        </w:rPr>
        <w:t>, The Effect of Gamma Rays on Gelatin / Chitosan Wound Dressing Physico - Chemical and Biological Properties, Iranian Journal of Materia</w:t>
      </w:r>
      <w:r w:rsidR="002A48C5">
        <w:rPr>
          <w:rFonts w:asciiTheme="minorHAnsi" w:hAnsiTheme="minorHAnsi" w:cstheme="majorBidi"/>
        </w:rPr>
        <w:t>ls Science and Engineering, 19-</w:t>
      </w:r>
      <w:r w:rsidRPr="001A19B2">
        <w:rPr>
          <w:rFonts w:asciiTheme="minorHAnsi" w:hAnsiTheme="minorHAnsi" w:cstheme="majorBidi"/>
        </w:rPr>
        <w:t>2</w:t>
      </w:r>
      <w:r w:rsidR="002A48C5">
        <w:rPr>
          <w:rFonts w:asciiTheme="minorHAnsi" w:hAnsiTheme="minorHAnsi" w:cstheme="majorBidi"/>
        </w:rPr>
        <w:t>.</w:t>
      </w:r>
    </w:p>
    <w:p w:rsidR="00AE3E37" w:rsidRDefault="002A48C5" w:rsidP="002A48C5">
      <w:pPr>
        <w:pStyle w:val="ListParagraph"/>
        <w:numPr>
          <w:ilvl w:val="0"/>
          <w:numId w:val="3"/>
        </w:numPr>
        <w:tabs>
          <w:tab w:val="left" w:pos="384"/>
        </w:tabs>
        <w:spacing w:before="92" w:line="218" w:lineRule="exact"/>
        <w:ind w:hanging="283"/>
        <w:sectPr w:rsidR="00AE3E37" w:rsidSect="008E5477">
          <w:type w:val="continuous"/>
          <w:pgSz w:w="11910" w:h="16840"/>
          <w:pgMar w:top="995" w:right="600" w:bottom="840" w:left="620" w:header="720" w:footer="720" w:gutter="0"/>
          <w:cols w:num="2" w:space="720" w:equalWidth="0">
            <w:col w:w="5214" w:space="138"/>
            <w:col w:w="5338"/>
          </w:cols>
        </w:sectPr>
      </w:pPr>
      <w:r>
        <w:t xml:space="preserve">Raouafi, Jbahi S, Daoudi M, Dridi W, Hamzaoui A H, Dorohzkin S V, Hosni F, </w:t>
      </w:r>
      <w:r w:rsidRPr="002A48C5">
        <w:t>Hidouri M</w:t>
      </w:r>
      <w:r>
        <w:t xml:space="preserve"> (2022), Natural red dyes from Beta vulgaris L. extract for gamma-rays color indicator: Physico-chemical and biological characterizations, Journal of the Indian Chemical Society,99-10.</w:t>
      </w:r>
      <w:r w:rsidR="008756E6">
        <w:t xml:space="preserve">   </w:t>
      </w:r>
    </w:p>
    <w:p w:rsidR="00AE3E37" w:rsidRDefault="00AE3E37">
      <w:pPr>
        <w:pStyle w:val="BodyText"/>
        <w:rPr>
          <w:rFonts w:ascii="Calibri"/>
          <w:sz w:val="20"/>
        </w:rPr>
      </w:pPr>
    </w:p>
    <w:p w:rsidR="00032FAE" w:rsidRDefault="00032FAE">
      <w:pPr>
        <w:pStyle w:val="BodyText"/>
        <w:rPr>
          <w:rFonts w:ascii="Calibri"/>
          <w:sz w:val="20"/>
        </w:rPr>
      </w:pPr>
    </w:p>
    <w:p w:rsidR="00032FAE" w:rsidRDefault="00032FAE">
      <w:pPr>
        <w:pStyle w:val="BodyText"/>
        <w:rPr>
          <w:rFonts w:ascii="Calibri"/>
          <w:sz w:val="20"/>
        </w:rPr>
      </w:pPr>
    </w:p>
    <w:p w:rsidR="00AE3E37" w:rsidRDefault="006B26D4">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6350" r="4445" b="6350"/>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418C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" strokecolor="#004080" strokeweight="2pt"/>
                <w10:anchorlock/>
              </v:group>
            </w:pict>
          </mc:Fallback>
        </mc:AlternateContent>
      </w:r>
    </w:p>
    <w:p w:rsidR="00AE3E37" w:rsidRDefault="00A9710C" w:rsidP="00032FAE">
      <w:pPr>
        <w:spacing w:before="92"/>
        <w:ind w:right="4234"/>
        <w:rPr>
          <w:rFonts w:ascii="Arial"/>
        </w:rPr>
      </w:pPr>
      <w:r>
        <w:rPr>
          <w:rFonts w:ascii="Arial"/>
          <w:color w:val="BF5A14"/>
        </w:rPr>
        <w:t>Biography</w:t>
      </w:r>
      <w:r w:rsidR="00404E5B">
        <w:rPr>
          <w:rFonts w:ascii="Arial"/>
          <w:color w:val="BF5A14"/>
        </w:rPr>
        <w:t xml:space="preserve"> </w:t>
      </w:r>
    </w:p>
    <w:p w:rsidR="00032FAE" w:rsidRPr="00032FAE" w:rsidRDefault="00032FAE" w:rsidP="00032FAE">
      <w:pPr>
        <w:spacing w:line="276" w:lineRule="auto"/>
        <w:jc w:val="both"/>
        <w:rPr>
          <w:rFonts w:asciiTheme="minorBidi" w:hAnsiTheme="minorBidi" w:cstheme="minorBidi"/>
          <w:b/>
          <w:sz w:val="16"/>
          <w:szCs w:val="16"/>
        </w:rPr>
      </w:pPr>
      <w:r w:rsidRPr="00032FAE">
        <w:rPr>
          <w:rFonts w:asciiTheme="minorBidi" w:hAnsiTheme="minorBidi" w:cstheme="minorBidi"/>
          <w:b/>
          <w:bCs/>
          <w:sz w:val="16"/>
          <w:szCs w:val="16"/>
        </w:rPr>
        <w:t>Pr. Mustapha Hidouri</w:t>
      </w:r>
      <w:r w:rsidRPr="00032FAE">
        <w:rPr>
          <w:rFonts w:asciiTheme="minorBidi" w:hAnsiTheme="minorBidi" w:cstheme="minorBidi"/>
          <w:sz w:val="16"/>
          <w:szCs w:val="16"/>
        </w:rPr>
        <w:t xml:space="preserve"> is a Teacher-Researcher in the field of materials and environment. Mustapha Hidouri received his Phd in Materials Chemistry in 2004. Currently he occupied the post of associate professor at Gabes University, Tunisia. His researches deal with biomaterials and environmental studies. He published more than 25 papers and 2 books and presented more than 30 oral and poster presentations in scientific congresses. His is a reviewer in many impacted journals.</w:t>
      </w:r>
    </w:p>
    <w:p w:rsidR="00AE3E37" w:rsidRDefault="006B26D4">
      <w:pPr>
        <w:spacing w:before="41" w:line="154" w:lineRule="exact"/>
        <w:ind w:left="213" w:right="231"/>
        <w:jc w:val="both"/>
        <w:rPr>
          <w:rFonts w:ascii="Arial"/>
          <w:sz w:val="1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54610</wp:posOffset>
                </wp:positionV>
                <wp:extent cx="1012190" cy="570230"/>
                <wp:effectExtent l="19050" t="19050" r="0" b="127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wps:spPr>
                      <wps:txbx>
                        <w:txbxContent>
                          <w:p w:rsidR="00A52075" w:rsidRDefault="00032FAE" w:rsidP="00032FAE">
                            <w:pPr>
                              <w:rPr>
                                <w:b/>
                                <w:color w:val="0000FF"/>
                                <w:lang w:val="en-IN"/>
                              </w:rPr>
                            </w:pPr>
                            <w:r w:rsidRPr="00032FAE">
                              <w:rPr>
                                <w:b/>
                                <w:noProof/>
                                <w:color w:val="0000FF"/>
                                <w:lang w:val="en-IN" w:eastAsia="en-IN"/>
                              </w:rPr>
                              <w:drawing>
                                <wp:inline distT="0" distB="0" distL="0" distR="0">
                                  <wp:extent cx="753745" cy="473093"/>
                                  <wp:effectExtent l="19050" t="0" r="8255" b="0"/>
                                  <wp:docPr id="3" name="Image 1" descr="C:\Users\RACHID\Desktop\archive\Pictures\téléchargement (1).png"/>
                                  <wp:cNvGraphicFramePr/>
                                  <a:graphic xmlns:a="http://schemas.openxmlformats.org/drawingml/2006/main">
                                    <a:graphicData uri="http://schemas.openxmlformats.org/drawingml/2006/picture">
                                      <pic:pic xmlns:pic="http://schemas.openxmlformats.org/drawingml/2006/picture">
                                        <pic:nvPicPr>
                                          <pic:cNvPr id="24578" name="Picture 2" descr="C:\Users\RACHID\Desktop\archive\Pictures\téléchargement (1).png"/>
                                          <pic:cNvPicPr>
                                            <a:picLocks noChangeAspect="1" noChangeArrowheads="1"/>
                                          </pic:cNvPicPr>
                                        </pic:nvPicPr>
                                        <pic:blipFill>
                                          <a:blip r:embed="rId10" cstate="print"/>
                                          <a:srcRect/>
                                          <a:stretch>
                                            <a:fillRect/>
                                          </a:stretch>
                                        </pic:blipFill>
                                        <pic:spPr bwMode="auto">
                                          <a:xfrm>
                                            <a:off x="0" y="0"/>
                                            <a:ext cx="753745" cy="473093"/>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 o:spid="_x0000_s1026" style="position:absolute;left:0;text-align:left;margin-left:445.35pt;margin-top:4.3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" strokecolor="#9bbb59" strokeweight="2.5pt">
                <v:textbox>
                  <w:txbxContent>
                    <w:p w:rsidR="00A52075" w:rsidRDefault="00032FAE" w:rsidP="00032FAE">
                      <w:pPr>
                        <w:rPr>
                          <w:b/>
                          <w:color w:val="0000FF"/>
                          <w:lang w:val="en-IN"/>
                        </w:rPr>
                      </w:pPr>
                      <w:r w:rsidRPr="00032FAE">
                        <w:rPr>
                          <w:b/>
                          <w:noProof/>
                          <w:color w:val="0000FF"/>
                          <w:lang w:val="en-IN" w:eastAsia="en-IN"/>
                        </w:rPr>
                        <w:drawing>
                          <wp:inline distT="0" distB="0" distL="0" distR="0">
                            <wp:extent cx="753745" cy="473093"/>
                            <wp:effectExtent l="19050" t="0" r="8255" b="0"/>
                            <wp:docPr id="3" name="Image 1" descr="C:\Users\RACHID\Desktop\archive\Pictures\téléchargement (1).png"/>
                            <wp:cNvGraphicFramePr/>
                            <a:graphic xmlns:a="http://schemas.openxmlformats.org/drawingml/2006/main">
                              <a:graphicData uri="http://schemas.openxmlformats.org/drawingml/2006/picture">
                                <pic:pic xmlns:pic="http://schemas.openxmlformats.org/drawingml/2006/picture">
                                  <pic:nvPicPr>
                                    <pic:cNvPr id="24578" name="Picture 2" descr="C:\Users\RACHID\Desktop\archive\Pictures\téléchargement (1).png"/>
                                    <pic:cNvPicPr>
                                      <a:picLocks noChangeAspect="1" noChangeArrowheads="1"/>
                                    </pic:cNvPicPr>
                                  </pic:nvPicPr>
                                  <pic:blipFill>
                                    <a:blip r:embed="rId10" cstate="print"/>
                                    <a:srcRect/>
                                    <a:stretch>
                                      <a:fillRect/>
                                    </a:stretch>
                                  </pic:blipFill>
                                  <pic:spPr bwMode="auto">
                                    <a:xfrm>
                                      <a:off x="0" y="0"/>
                                      <a:ext cx="753745" cy="473093"/>
                                    </a:xfrm>
                                    <a:prstGeom prst="rect">
                                      <a:avLst/>
                                    </a:prstGeom>
                                    <a:noFill/>
                                  </pic:spPr>
                                </pic:pic>
                              </a:graphicData>
                            </a:graphic>
                          </wp:inline>
                        </w:drawing>
                      </w:r>
                    </w:p>
                  </w:txbxContent>
                </v:textbox>
              </v:roundrect>
            </w:pict>
          </mc:Fallback>
        </mc:AlternateContent>
      </w:r>
      <w:r w:rsidR="00A9710C">
        <w:rPr>
          <w:rFonts w:ascii="Arial"/>
          <w:sz w:val="14"/>
        </w:rPr>
        <w:t>.</w:t>
      </w:r>
    </w:p>
    <w:p w:rsidR="00AE3E37" w:rsidRDefault="00A9710C" w:rsidP="00032FAE">
      <w:pPr>
        <w:spacing w:before="62"/>
        <w:ind w:left="4217" w:right="4235"/>
        <w:jc w:val="center"/>
        <w:rPr>
          <w:rFonts w:ascii="Arial"/>
          <w:sz w:val="14"/>
        </w:rPr>
      </w:pPr>
      <w:r>
        <w:rPr>
          <w:rFonts w:ascii="Arial"/>
          <w:sz w:val="14"/>
        </w:rPr>
        <w:t xml:space="preserve">Email: </w:t>
      </w:r>
      <w:r w:rsidR="00032FAE">
        <w:rPr>
          <w:rFonts w:ascii="Arial"/>
          <w:sz w:val="14"/>
        </w:rPr>
        <w:t>mustapha.hidouri@laposte.net</w:t>
      </w:r>
    </w:p>
    <w:p w:rsidR="00AE3E37" w:rsidRDefault="006B26D4">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E6A026" id="Straight Connector 6"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21E" w:rsidRDefault="006C621E">
      <w:r>
        <w:separator/>
      </w:r>
    </w:p>
  </w:endnote>
  <w:endnote w:type="continuationSeparator" w:id="0">
    <w:p w:rsidR="006C621E" w:rsidRDefault="006C6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6B26D4">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AtRUx26QEAALYDAAAOAAAAAAAAAAAAAAAAAC4CAABkcnMvZTJvRG9j&#10;LnhtbFBLAQItABQABgAIAAAAIQBmCxCF4QAAAAwBAAAPAAAAAAAAAAAAAAAAAEMEAABkcnMvZG93&#10;bnJldi54bWxQSwUGAAAAAAQABADzAAAAUQ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RBk8fO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21E" w:rsidRDefault="006C621E">
      <w:r>
        <w:separator/>
      </w:r>
    </w:p>
  </w:footnote>
  <w:footnote w:type="continuationSeparator" w:id="0">
    <w:p w:rsidR="006C621E" w:rsidRDefault="006C62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2FAE"/>
    <w:rsid w:val="00084CFF"/>
    <w:rsid w:val="000E2911"/>
    <w:rsid w:val="001263DF"/>
    <w:rsid w:val="0019057E"/>
    <w:rsid w:val="001A19B2"/>
    <w:rsid w:val="001B68FD"/>
    <w:rsid w:val="00292ED9"/>
    <w:rsid w:val="002A48C5"/>
    <w:rsid w:val="0033537F"/>
    <w:rsid w:val="00351D9B"/>
    <w:rsid w:val="00380299"/>
    <w:rsid w:val="003B6E9A"/>
    <w:rsid w:val="00404E5B"/>
    <w:rsid w:val="00414F7B"/>
    <w:rsid w:val="004355DC"/>
    <w:rsid w:val="004749B4"/>
    <w:rsid w:val="00494130"/>
    <w:rsid w:val="004F3523"/>
    <w:rsid w:val="00551B3F"/>
    <w:rsid w:val="00551E7D"/>
    <w:rsid w:val="005973B9"/>
    <w:rsid w:val="005B3A56"/>
    <w:rsid w:val="006060CE"/>
    <w:rsid w:val="0061505C"/>
    <w:rsid w:val="0063497F"/>
    <w:rsid w:val="006B26D4"/>
    <w:rsid w:val="006C621E"/>
    <w:rsid w:val="00714354"/>
    <w:rsid w:val="007A15E1"/>
    <w:rsid w:val="00862150"/>
    <w:rsid w:val="00873DF0"/>
    <w:rsid w:val="008756E6"/>
    <w:rsid w:val="00897EC5"/>
    <w:rsid w:val="008E5477"/>
    <w:rsid w:val="009B2D44"/>
    <w:rsid w:val="00A02E11"/>
    <w:rsid w:val="00A07E82"/>
    <w:rsid w:val="00A52075"/>
    <w:rsid w:val="00A9710C"/>
    <w:rsid w:val="00AE3E37"/>
    <w:rsid w:val="00B21A57"/>
    <w:rsid w:val="00C33602"/>
    <w:rsid w:val="00C56C74"/>
    <w:rsid w:val="00CD6F55"/>
    <w:rsid w:val="00DE3104"/>
    <w:rsid w:val="00DE6170"/>
    <w:rsid w:val="00DF6DF9"/>
    <w:rsid w:val="00E30AAC"/>
    <w:rsid w:val="00E95D97"/>
    <w:rsid w:val="00F046EA"/>
    <w:rsid w:val="00F2785E"/>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F120D"/>
  <w15:docId w15:val="{323DDBE8-BBAF-4946-9CE8-93804B93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3153</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2</cp:revision>
  <dcterms:created xsi:type="dcterms:W3CDTF">2022-10-04T04:59:00Z</dcterms:created>
  <dcterms:modified xsi:type="dcterms:W3CDTF">2022-10-04T04:59:00Z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