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45356" w14:textId="6A8E302E" w:rsidR="001F26F2" w:rsidRPr="00D55EFE" w:rsidRDefault="001F26F2" w:rsidP="001F26F2">
      <w:pPr>
        <w:jc w:val="both"/>
        <w:rPr>
          <w:rFonts w:ascii="Times New Roman" w:hAnsi="Times New Roman" w:cs="Times New Roman"/>
          <w:b/>
          <w:bCs/>
          <w:sz w:val="24"/>
          <w:szCs w:val="24"/>
        </w:rPr>
      </w:pPr>
      <w:bookmarkStart w:id="0" w:name="_Hlk69724021"/>
      <w:bookmarkStart w:id="1" w:name="_Hlk69724425"/>
      <w:r w:rsidRPr="00D55EFE">
        <w:rPr>
          <w:rFonts w:ascii="Times New Roman" w:hAnsi="Times New Roman" w:cs="Times New Roman"/>
          <w:b/>
          <w:bCs/>
          <w:sz w:val="24"/>
          <w:szCs w:val="24"/>
        </w:rPr>
        <w:t xml:space="preserve">Title: </w:t>
      </w:r>
      <w:r w:rsidR="009B2AA6" w:rsidRPr="009B2AA6">
        <w:rPr>
          <w:rFonts w:ascii="Times New Roman" w:hAnsi="Times New Roman" w:cs="Times New Roman"/>
          <w:b/>
          <w:bCs/>
          <w:sz w:val="24"/>
          <w:szCs w:val="24"/>
        </w:rPr>
        <w:t xml:space="preserve">The association of molar ratio of </w:t>
      </w:r>
      <w:r w:rsidR="009B2AA6">
        <w:rPr>
          <w:rFonts w:ascii="Times New Roman" w:hAnsi="Times New Roman" w:cs="Times New Roman"/>
          <w:b/>
          <w:bCs/>
          <w:sz w:val="24"/>
          <w:szCs w:val="24"/>
        </w:rPr>
        <w:t>C</w:t>
      </w:r>
      <w:r w:rsidR="009B2AA6" w:rsidRPr="009B2AA6">
        <w:rPr>
          <w:rFonts w:ascii="Times New Roman" w:hAnsi="Times New Roman" w:cs="Times New Roman"/>
          <w:b/>
          <w:bCs/>
          <w:sz w:val="24"/>
          <w:szCs w:val="24"/>
        </w:rPr>
        <w:t>GP/IGF-1 with cognitive function in Alzheimer’s and Parkinson’s patients</w:t>
      </w:r>
    </w:p>
    <w:p w14:paraId="3B1B253D" w14:textId="77777777" w:rsidR="009B2AA6" w:rsidRDefault="009B2AA6" w:rsidP="009B2AA6">
      <w:pPr>
        <w:rPr>
          <w:rFonts w:ascii="Times New Roman" w:hAnsi="Times New Roman" w:cs="Times New Roman"/>
          <w:bCs/>
          <w:sz w:val="24"/>
          <w:szCs w:val="24"/>
        </w:rPr>
      </w:pPr>
      <w:r w:rsidRPr="009B2AA6">
        <w:rPr>
          <w:rFonts w:ascii="Times New Roman" w:hAnsi="Times New Roman" w:cs="Times New Roman"/>
          <w:bCs/>
          <w:sz w:val="24"/>
          <w:szCs w:val="24"/>
        </w:rPr>
        <w:t>Jian Guan</w:t>
      </w:r>
      <w:r w:rsidR="001F26F2" w:rsidRPr="00D55EFE">
        <w:rPr>
          <w:rFonts w:ascii="Times New Roman" w:hAnsi="Times New Roman" w:cs="Times New Roman"/>
          <w:bCs/>
          <w:sz w:val="24"/>
          <w:szCs w:val="24"/>
        </w:rPr>
        <w:br/>
      </w:r>
      <w:r>
        <w:rPr>
          <w:rFonts w:ascii="Arial"/>
        </w:rPr>
        <w:t>University of Auckland</w:t>
      </w:r>
      <w:r w:rsidR="001F26F2" w:rsidRPr="00D55EFE">
        <w:rPr>
          <w:rFonts w:ascii="Times New Roman" w:hAnsi="Times New Roman" w:cs="Times New Roman"/>
          <w:bCs/>
          <w:sz w:val="24"/>
          <w:szCs w:val="24"/>
        </w:rPr>
        <w:t xml:space="preserve">, </w:t>
      </w:r>
      <w:r w:rsidRPr="009B2AA6">
        <w:rPr>
          <w:rFonts w:ascii="Times New Roman" w:hAnsi="Times New Roman" w:cs="Times New Roman"/>
          <w:bCs/>
          <w:sz w:val="24"/>
          <w:szCs w:val="24"/>
        </w:rPr>
        <w:t>New Zealand</w:t>
      </w:r>
      <w:r w:rsidRPr="009B2AA6">
        <w:rPr>
          <w:rFonts w:ascii="Times New Roman" w:hAnsi="Times New Roman" w:cs="Times New Roman"/>
          <w:bCs/>
          <w:sz w:val="24"/>
          <w:szCs w:val="24"/>
        </w:rPr>
        <w:t xml:space="preserve"> </w:t>
      </w:r>
    </w:p>
    <w:p w14:paraId="7138D47F" w14:textId="1B7060B1" w:rsidR="001F26F2" w:rsidRPr="00D55EFE" w:rsidRDefault="001F26F2" w:rsidP="009B2AA6">
      <w:pPr>
        <w:rPr>
          <w:rFonts w:ascii="Times New Roman" w:hAnsi="Times New Roman" w:cs="Times New Roman"/>
          <w:b/>
          <w:bCs/>
          <w:sz w:val="24"/>
          <w:szCs w:val="24"/>
        </w:rPr>
      </w:pPr>
      <w:r w:rsidRPr="00D55EFE">
        <w:rPr>
          <w:rFonts w:ascii="Times New Roman" w:hAnsi="Times New Roman" w:cs="Times New Roman"/>
          <w:b/>
          <w:bCs/>
          <w:sz w:val="24"/>
          <w:szCs w:val="24"/>
        </w:rPr>
        <w:t>Abstract</w:t>
      </w:r>
      <w:bookmarkEnd w:id="0"/>
      <w:bookmarkEnd w:id="1"/>
    </w:p>
    <w:p w14:paraId="0129717A" w14:textId="1A60674B" w:rsidR="009B2AA6" w:rsidRDefault="009B2AA6" w:rsidP="009B2AA6">
      <w:pPr>
        <w:spacing w:after="0" w:line="240" w:lineRule="auto"/>
        <w:jc w:val="both"/>
        <w:rPr>
          <w:rFonts w:ascii="Times New Roman" w:hAnsi="Times New Roman" w:cs="Times New Roman"/>
          <w:sz w:val="24"/>
          <w:szCs w:val="24"/>
        </w:rPr>
      </w:pPr>
      <w:r w:rsidRPr="009B2AA6">
        <w:rPr>
          <w:rFonts w:ascii="Times New Roman" w:hAnsi="Times New Roman" w:cs="Times New Roman"/>
          <w:sz w:val="24"/>
          <w:szCs w:val="24"/>
        </w:rPr>
        <w:t>Insulin-like growth factor (IGF) binding protein (IGFBP)-3 and cyclic glycine-proline (cGP) collectively regulate the amount of bioavailable IGF-1 in circulation, thus IGF-1 function, which is associated with cognition. IGF-1 declines with age and contributes to age-related cognitive impairment including Alzheimer’s diseases (AD). Cognitive impairment is a common feature of Parkinson disease (PD), for which age is a major contributing factor. We evaluated the association between IGF-1 function and cognitive impairment in patients with PD or AD, and in human brains of AD cases.</w:t>
      </w:r>
    </w:p>
    <w:p w14:paraId="7F6761B6" w14:textId="77777777" w:rsidR="009B2AA6" w:rsidRPr="009B2AA6" w:rsidRDefault="009B2AA6" w:rsidP="009B2AA6">
      <w:pPr>
        <w:spacing w:after="0" w:line="240" w:lineRule="auto"/>
        <w:jc w:val="both"/>
        <w:rPr>
          <w:rFonts w:ascii="Times New Roman" w:hAnsi="Times New Roman" w:cs="Times New Roman"/>
          <w:sz w:val="24"/>
          <w:szCs w:val="24"/>
        </w:rPr>
      </w:pPr>
    </w:p>
    <w:p w14:paraId="2EBB3D88" w14:textId="77777777" w:rsidR="009B2AA6" w:rsidRDefault="009B2AA6" w:rsidP="009B2AA6">
      <w:pPr>
        <w:spacing w:after="0" w:line="240" w:lineRule="auto"/>
        <w:jc w:val="both"/>
        <w:rPr>
          <w:rFonts w:ascii="Times New Roman" w:hAnsi="Times New Roman" w:cs="Times New Roman"/>
          <w:sz w:val="24"/>
          <w:szCs w:val="24"/>
        </w:rPr>
      </w:pPr>
      <w:r w:rsidRPr="009B2AA6">
        <w:rPr>
          <w:rFonts w:ascii="Times New Roman" w:hAnsi="Times New Roman" w:cs="Times New Roman"/>
          <w:sz w:val="24"/>
          <w:szCs w:val="24"/>
        </w:rPr>
        <w:t>The plasma concentration of cGP, IGF-1 and IGFBP-3 in PD patients with normal cognition (PD-N, n = 74), mild cognitive impairment (PD-MCI, n = 71), or dementia (PD-D, n = 33), in AD patients (n=15) with moderate memory impairment, as well as their respective health controls. The association between the changes of these peptides and clinical scores, were also analyzed.</w:t>
      </w:r>
    </w:p>
    <w:p w14:paraId="2DF2F863" w14:textId="3C1C8F89" w:rsidR="009B2AA6" w:rsidRPr="009B2AA6" w:rsidRDefault="009B2AA6" w:rsidP="009B2AA6">
      <w:pPr>
        <w:spacing w:after="0" w:line="240" w:lineRule="auto"/>
        <w:jc w:val="both"/>
        <w:rPr>
          <w:rFonts w:ascii="Times New Roman" w:hAnsi="Times New Roman" w:cs="Times New Roman"/>
          <w:sz w:val="24"/>
          <w:szCs w:val="24"/>
        </w:rPr>
      </w:pPr>
      <w:r w:rsidRPr="009B2AA6">
        <w:rPr>
          <w:rFonts w:ascii="Times New Roman" w:hAnsi="Times New Roman" w:cs="Times New Roman"/>
          <w:sz w:val="24"/>
          <w:szCs w:val="24"/>
        </w:rPr>
        <w:t xml:space="preserve"> </w:t>
      </w:r>
    </w:p>
    <w:p w14:paraId="540DC108" w14:textId="13F3444E" w:rsidR="009B2AA6" w:rsidRDefault="009B2AA6" w:rsidP="009B2AA6">
      <w:pPr>
        <w:spacing w:after="0" w:line="240" w:lineRule="auto"/>
        <w:jc w:val="both"/>
        <w:rPr>
          <w:rFonts w:ascii="Times New Roman" w:hAnsi="Times New Roman" w:cs="Times New Roman"/>
          <w:sz w:val="24"/>
          <w:szCs w:val="24"/>
        </w:rPr>
      </w:pPr>
      <w:r w:rsidRPr="009B2AA6">
        <w:rPr>
          <w:rFonts w:ascii="Times New Roman" w:hAnsi="Times New Roman" w:cs="Times New Roman"/>
          <w:sz w:val="24"/>
          <w:szCs w:val="24"/>
        </w:rPr>
        <w:t xml:space="preserve">The molar ratio of cGP/IGF-1 increases with age in PD patients with normal cognitive function and decreases with age in PD patients with dementia. Independent of age healthy people with a higher cGP/IGF-1 molar ratio </w:t>
      </w:r>
      <w:r w:rsidRPr="009B2AA6">
        <w:rPr>
          <w:rFonts w:ascii="Times New Roman" w:hAnsi="Times New Roman" w:cs="Times New Roman"/>
          <w:sz w:val="24"/>
          <w:szCs w:val="24"/>
        </w:rPr>
        <w:t>shows</w:t>
      </w:r>
      <w:r w:rsidRPr="009B2AA6">
        <w:rPr>
          <w:rFonts w:ascii="Times New Roman" w:hAnsi="Times New Roman" w:cs="Times New Roman"/>
          <w:sz w:val="24"/>
          <w:szCs w:val="24"/>
        </w:rPr>
        <w:t xml:space="preserve"> better preserved cognition. Compared to normal controls the cGP/IGF-1 molar ratio increases in AD patients. IGFBP-3 concentration is increased in AD and PD patients. </w:t>
      </w:r>
    </w:p>
    <w:p w14:paraId="5D2FC81A" w14:textId="60345E2D" w:rsidR="009B2AA6" w:rsidRPr="009B2AA6" w:rsidRDefault="009B2AA6" w:rsidP="009B2AA6">
      <w:pPr>
        <w:spacing w:after="0" w:line="240" w:lineRule="auto"/>
        <w:jc w:val="both"/>
        <w:rPr>
          <w:rFonts w:ascii="Times New Roman" w:hAnsi="Times New Roman" w:cs="Times New Roman"/>
          <w:sz w:val="24"/>
          <w:szCs w:val="24"/>
        </w:rPr>
      </w:pPr>
      <w:r w:rsidRPr="009B2AA6">
        <w:rPr>
          <w:rFonts w:ascii="Times New Roman" w:hAnsi="Times New Roman" w:cs="Times New Roman"/>
          <w:sz w:val="24"/>
          <w:szCs w:val="24"/>
        </w:rPr>
        <w:t xml:space="preserve"> </w:t>
      </w:r>
    </w:p>
    <w:p w14:paraId="0D1C867F" w14:textId="77777777" w:rsidR="009B2AA6" w:rsidRPr="009B2AA6" w:rsidRDefault="009B2AA6" w:rsidP="009B2AA6">
      <w:pPr>
        <w:spacing w:after="0" w:line="240" w:lineRule="auto"/>
        <w:jc w:val="both"/>
        <w:rPr>
          <w:rFonts w:ascii="Times New Roman" w:hAnsi="Times New Roman" w:cs="Times New Roman"/>
          <w:sz w:val="24"/>
          <w:szCs w:val="24"/>
        </w:rPr>
      </w:pPr>
      <w:r w:rsidRPr="009B2AA6">
        <w:rPr>
          <w:rFonts w:ascii="Times New Roman" w:hAnsi="Times New Roman" w:cs="Times New Roman"/>
          <w:sz w:val="24"/>
          <w:szCs w:val="24"/>
        </w:rPr>
        <w:t xml:space="preserve">Increase of cGP concentration and or cGP/IGF-1 molar ratio is the endogenous response to maintain IGF-1 function through improving bioavailability of IGF-1. If confirmed through longitudinal investigations, the changes of cGP/IGF-1 molar ratio with age may be a biomarker for indicating and predicting cognitive impairment in PD and AD. Increase of IGFBP-3 may be a biomarker forIGF-1 resistance. </w:t>
      </w:r>
    </w:p>
    <w:p w14:paraId="63F3D713" w14:textId="17A0715B" w:rsidR="001F26F2" w:rsidRPr="00D55EFE" w:rsidRDefault="001F26F2" w:rsidP="001F26F2">
      <w:pPr>
        <w:spacing w:after="0" w:line="240" w:lineRule="auto"/>
        <w:jc w:val="both"/>
        <w:rPr>
          <w:rFonts w:ascii="Times New Roman" w:hAnsi="Times New Roman" w:cs="Times New Roman"/>
          <w:sz w:val="24"/>
          <w:szCs w:val="24"/>
        </w:rPr>
      </w:pPr>
      <w:r w:rsidRPr="00D55EFE">
        <w:rPr>
          <w:rFonts w:ascii="Times New Roman" w:hAnsi="Times New Roman" w:cs="Times New Roman"/>
          <w:sz w:val="24"/>
          <w:szCs w:val="24"/>
        </w:rPr>
        <w:t>.</w:t>
      </w:r>
    </w:p>
    <w:p w14:paraId="30A81EF8" w14:textId="77777777" w:rsidR="001F26F2" w:rsidRPr="00D55EFE" w:rsidRDefault="001F26F2" w:rsidP="001F26F2">
      <w:pPr>
        <w:jc w:val="both"/>
        <w:rPr>
          <w:rFonts w:ascii="Times New Roman" w:hAnsi="Times New Roman" w:cs="Times New Roman"/>
          <w:b/>
          <w:sz w:val="24"/>
          <w:szCs w:val="24"/>
        </w:rPr>
      </w:pPr>
      <w:r w:rsidRPr="00D55EFE">
        <w:rPr>
          <w:rFonts w:ascii="Times New Roman" w:hAnsi="Times New Roman" w:cs="Times New Roman"/>
          <w:b/>
          <w:sz w:val="24"/>
          <w:szCs w:val="24"/>
        </w:rPr>
        <w:t>Biography</w:t>
      </w:r>
    </w:p>
    <w:p w14:paraId="3910A5C9" w14:textId="6FE57EAC" w:rsidR="001F26F2" w:rsidRPr="001F26F2" w:rsidRDefault="009B2AA6" w:rsidP="009B2AA6">
      <w:pPr>
        <w:spacing w:after="0" w:line="240" w:lineRule="auto"/>
        <w:jc w:val="both"/>
        <w:rPr>
          <w:rFonts w:ascii="Times New Roman" w:hAnsi="Times New Roman" w:cs="Times New Roman"/>
          <w:sz w:val="24"/>
          <w:szCs w:val="24"/>
        </w:rPr>
      </w:pPr>
      <w:r w:rsidRPr="009B2AA6">
        <w:rPr>
          <w:rFonts w:ascii="Times New Roman" w:hAnsi="Times New Roman" w:cs="Times New Roman"/>
          <w:sz w:val="24"/>
          <w:szCs w:val="24"/>
        </w:rPr>
        <w:t xml:space="preserve">Jian Guan completed the Bachelor of Medicine in Wuhan University, China in 1982, then the PhD in </w:t>
      </w:r>
      <w:r w:rsidRPr="009B2AA6">
        <w:rPr>
          <w:rFonts w:ascii="Times New Roman" w:hAnsi="Times New Roman" w:cs="Times New Roman"/>
          <w:sz w:val="24"/>
          <w:szCs w:val="24"/>
        </w:rPr>
        <w:t>Pediatrics</w:t>
      </w:r>
      <w:r w:rsidRPr="009B2AA6">
        <w:rPr>
          <w:rFonts w:ascii="Times New Roman" w:hAnsi="Times New Roman" w:cs="Times New Roman"/>
          <w:sz w:val="24"/>
          <w:szCs w:val="24"/>
        </w:rPr>
        <w:t xml:space="preserve"> in Auckland University, New Zealand in 1996. She continued the pioneer research in </w:t>
      </w:r>
      <w:r w:rsidRPr="009B2AA6">
        <w:rPr>
          <w:rFonts w:ascii="Times New Roman" w:hAnsi="Times New Roman" w:cs="Times New Roman"/>
          <w:sz w:val="24"/>
          <w:szCs w:val="24"/>
        </w:rPr>
        <w:t>insulin</w:t>
      </w:r>
      <w:r w:rsidRPr="009B2AA6">
        <w:rPr>
          <w:rFonts w:ascii="Times New Roman" w:hAnsi="Times New Roman" w:cs="Times New Roman"/>
          <w:sz w:val="24"/>
          <w:szCs w:val="24"/>
        </w:rPr>
        <w:t xml:space="preserve">-like growth factor-1 (IGF-1) and brain function in Auckland University, New Zealand. She is currently affiliated with the Pharmacology and Clinical Pharmacology, the Faculty of Medical and Health Sciences and Chief scientist of the cGP Lab, New Zealand.  Her research has been largely </w:t>
      </w:r>
      <w:r w:rsidRPr="009B2AA6">
        <w:rPr>
          <w:rFonts w:ascii="Times New Roman" w:hAnsi="Times New Roman" w:cs="Times New Roman"/>
          <w:sz w:val="24"/>
          <w:szCs w:val="24"/>
        </w:rPr>
        <w:t>focusing</w:t>
      </w:r>
      <w:r w:rsidRPr="009B2AA6">
        <w:rPr>
          <w:rFonts w:ascii="Times New Roman" w:hAnsi="Times New Roman" w:cs="Times New Roman"/>
          <w:sz w:val="24"/>
          <w:szCs w:val="24"/>
        </w:rPr>
        <w:t xml:space="preserve"> on the discoveries, pharmaceutical and nutraceutical developments for treating cerebral vascular diseases by improving the function of IGF-1. Her discovery of a missing link of IGF-1 autocrine regulation leads to clinical evaluations for developing a novel biomarker for IGF-1 function and its clinical application for small vessel diseases including cognitive impairment and metabolic disorders. Her discovery of natural cGP from food lead to current development of natural cGP for improving brain health and function.</w:t>
      </w:r>
    </w:p>
    <w:sectPr w:rsidR="001F26F2" w:rsidRPr="001F26F2" w:rsidSect="00410C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6F2"/>
    <w:rsid w:val="001F26F2"/>
    <w:rsid w:val="009B2AA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A1142"/>
  <w15:chartTrackingRefBased/>
  <w15:docId w15:val="{5F86CBA8-0509-4096-8804-BA2F08A9B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6F2"/>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26F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439</Words>
  <Characters>2505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WFH</dc:creator>
  <cp:keywords/>
  <dc:description/>
  <cp:lastModifiedBy>WFH</cp:lastModifiedBy>
  <cp:revision>1</cp:revision>
  <dcterms:created xsi:type="dcterms:W3CDTF">2022-10-03T11:15:00Z</dcterms:created>
  <dcterms:modified xsi:type="dcterms:W3CDTF">2022-10-03T11:36:00Z</dcterms:modified>
</cp:coreProperties>
</file>