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F3BB2" w14:textId="45042C07" w:rsidR="00D7586B" w:rsidRDefault="00D7586B" w:rsidP="00D7586B">
      <w:pPr>
        <w:pStyle w:val="Heading1"/>
        <w:spacing w:before="170" w:line="240" w:lineRule="auto"/>
        <w:ind w:left="0"/>
        <w:jc w:val="center"/>
        <w:rPr>
          <w:rFonts w:cs="Times New Roman"/>
          <w:color w:val="1F497D" w:themeColor="text2"/>
          <w:szCs w:val="24"/>
        </w:rPr>
      </w:pPr>
      <w:r w:rsidRPr="00817353">
        <w:rPr>
          <w:rFonts w:cs="Times New Roman"/>
          <w:color w:val="1F497D" w:themeColor="text2"/>
          <w:szCs w:val="24"/>
        </w:rPr>
        <w:t xml:space="preserve">Method Validation for Simultaneous Determination of </w:t>
      </w:r>
      <w:r w:rsidRPr="00817353">
        <w:rPr>
          <w:rFonts w:cs="Times New Roman"/>
          <w:color w:val="1F497D" w:themeColor="text2"/>
          <w:szCs w:val="44"/>
        </w:rPr>
        <w:t>Griseofulvin</w:t>
      </w:r>
      <w:r w:rsidRPr="00817353">
        <w:rPr>
          <w:rFonts w:cs="Times New Roman"/>
          <w:color w:val="1F497D" w:themeColor="text2"/>
        </w:rPr>
        <w:t xml:space="preserve">, Two </w:t>
      </w:r>
      <w:r w:rsidRPr="00817353">
        <w:rPr>
          <w:rFonts w:cs="Times New Roman"/>
          <w:color w:val="1F497D" w:themeColor="text2"/>
          <w:szCs w:val="24"/>
        </w:rPr>
        <w:t>Macrolides,</w:t>
      </w:r>
      <w:r w:rsidRPr="00817353">
        <w:rPr>
          <w:rFonts w:cs="Times New Roman"/>
          <w:color w:val="1F497D" w:themeColor="text2"/>
        </w:rPr>
        <w:t xml:space="preserve"> and Four</w:t>
      </w:r>
      <w:r w:rsidRPr="00817353">
        <w:rPr>
          <w:rFonts w:cs="Times New Roman"/>
          <w:color w:val="1F497D" w:themeColor="text2"/>
          <w:szCs w:val="24"/>
        </w:rPr>
        <w:t xml:space="preserve"> Sulfonamides</w:t>
      </w:r>
      <w:r w:rsidRPr="00817353">
        <w:rPr>
          <w:rFonts w:cs="Times New Roman"/>
          <w:color w:val="1F497D" w:themeColor="text2"/>
        </w:rPr>
        <w:t xml:space="preserve"> </w:t>
      </w:r>
      <w:r w:rsidRPr="00817353">
        <w:rPr>
          <w:rFonts w:cs="Times New Roman"/>
          <w:color w:val="1F497D" w:themeColor="text2"/>
          <w:szCs w:val="24"/>
        </w:rPr>
        <w:t>Antibiotics in</w:t>
      </w:r>
      <w:r w:rsidRPr="00817353">
        <w:rPr>
          <w:rFonts w:cs="Times New Roman"/>
          <w:color w:val="1F497D" w:themeColor="text2"/>
        </w:rPr>
        <w:t xml:space="preserve"> </w:t>
      </w:r>
      <w:r w:rsidRPr="00817353">
        <w:rPr>
          <w:rFonts w:cs="Times New Roman"/>
          <w:color w:val="1F497D" w:themeColor="text2"/>
          <w:szCs w:val="24"/>
        </w:rPr>
        <w:t xml:space="preserve">Yogurt </w:t>
      </w:r>
      <w:r w:rsidRPr="00817353">
        <w:rPr>
          <w:rFonts w:cs="Times New Roman"/>
          <w:color w:val="1F497D" w:themeColor="text2"/>
        </w:rPr>
        <w:t xml:space="preserve">Samples </w:t>
      </w:r>
      <w:r w:rsidRPr="00817353">
        <w:rPr>
          <w:rFonts w:cs="Times New Roman"/>
          <w:color w:val="1F497D" w:themeColor="text2"/>
          <w:szCs w:val="24"/>
        </w:rPr>
        <w:t>by SPE Clean-up and UHPLC-MS/MS</w:t>
      </w:r>
    </w:p>
    <w:p w14:paraId="09CF4D10" w14:textId="77777777" w:rsidR="00380CAB" w:rsidRPr="00817353" w:rsidRDefault="00380CAB" w:rsidP="00D7586B">
      <w:pPr>
        <w:pStyle w:val="Heading1"/>
        <w:spacing w:before="170" w:line="240" w:lineRule="auto"/>
        <w:ind w:left="0"/>
        <w:jc w:val="center"/>
        <w:rPr>
          <w:rFonts w:cs="Times New Roman"/>
          <w:color w:val="1F497D" w:themeColor="text2"/>
        </w:rPr>
      </w:pPr>
    </w:p>
    <w:p w14:paraId="42BC54CC" w14:textId="77777777" w:rsidR="00AE3E37" w:rsidRDefault="00380CAB" w:rsidP="00E32A22">
      <w:pPr>
        <w:pStyle w:val="BodyText"/>
        <w:rPr>
          <w:rFonts w:asciiTheme="minorBidi" w:eastAsia="MS PGothic" w:hAnsiTheme="minorBidi" w:cstheme="minorBidi"/>
          <w:color w:val="000000"/>
        </w:rPr>
      </w:pPr>
      <w:r w:rsidRPr="00817353">
        <w:rPr>
          <w:rFonts w:asciiTheme="minorBidi" w:hAnsiTheme="minorBidi" w:cstheme="minorBidi"/>
        </w:rPr>
        <w:t xml:space="preserve">Sara Kheirandish, Master of Toxicology, </w:t>
      </w:r>
      <w:r w:rsidRPr="00817353">
        <w:rPr>
          <w:rFonts w:asciiTheme="minorBidi" w:eastAsia="MS PGothic" w:hAnsiTheme="minorBidi" w:cstheme="minorBidi"/>
          <w:color w:val="000000"/>
        </w:rPr>
        <w:t>Tehran University of Medical Sciences, School of Medicine, IRI</w:t>
      </w:r>
    </w:p>
    <w:p w14:paraId="06F797BF" w14:textId="7BDA0560" w:rsidR="00E32A22" w:rsidRDefault="00E32A22" w:rsidP="00E32A22">
      <w:pPr>
        <w:pStyle w:val="BodyText"/>
        <w:rPr>
          <w:rFonts w:asciiTheme="minorBidi" w:eastAsia="MS PGothic" w:hAnsiTheme="minorBidi" w:cstheme="minorBidi"/>
          <w:color w:val="000000"/>
        </w:rPr>
      </w:pPr>
    </w:p>
    <w:p w14:paraId="5561CD19" w14:textId="4E0DEADA" w:rsidR="00E32A22" w:rsidRPr="00E32A22" w:rsidRDefault="00E32A22" w:rsidP="00E32A22">
      <w:pPr>
        <w:pStyle w:val="BodyText"/>
        <w:rPr>
          <w:rFonts w:asciiTheme="minorBidi" w:hAnsiTheme="minorBidi" w:cstheme="minorBidi"/>
          <w:sz w:val="20"/>
        </w:rPr>
        <w:sectPr w:rsidR="00E32A22" w:rsidRPr="00E32A22" w:rsidSect="008E5477">
          <w:footerReference w:type="default" r:id="rId7"/>
          <w:type w:val="continuous"/>
          <w:pgSz w:w="11910" w:h="16840"/>
          <w:pgMar w:top="995" w:right="600" w:bottom="840" w:left="620" w:header="0" w:footer="0" w:gutter="0"/>
          <w:cols w:space="720"/>
          <w:docGrid w:linePitch="299"/>
        </w:sectPr>
      </w:pPr>
    </w:p>
    <w:p w14:paraId="5A9CBF9A" w14:textId="176A6554" w:rsidR="003C65B7" w:rsidRDefault="00A9710C" w:rsidP="00B33883">
      <w:pPr>
        <w:pStyle w:val="Heading3"/>
        <w:ind w:left="0"/>
        <w:jc w:val="both"/>
        <w:rPr>
          <w:color w:val="BF5A14"/>
          <w:rtl/>
        </w:rPr>
      </w:pPr>
      <w:r>
        <w:rPr>
          <w:color w:val="BF5A14"/>
        </w:rPr>
        <w:t>Abstract</w:t>
      </w:r>
      <w:r w:rsidR="00404E5B">
        <w:rPr>
          <w:color w:val="BF5A14"/>
        </w:rPr>
        <w:t xml:space="preserve"> </w:t>
      </w:r>
    </w:p>
    <w:p w14:paraId="67BE0CAC" w14:textId="77777777" w:rsidR="00B33883" w:rsidRPr="00B33883" w:rsidRDefault="00B33883" w:rsidP="00B33883">
      <w:pPr>
        <w:pStyle w:val="Heading3"/>
        <w:ind w:left="0"/>
        <w:jc w:val="both"/>
        <w:rPr>
          <w:rtl/>
        </w:rPr>
      </w:pPr>
    </w:p>
    <w:p w14:paraId="782AC511" w14:textId="2E966490" w:rsidR="00380CAB" w:rsidRPr="00365920" w:rsidRDefault="00380CAB" w:rsidP="00B33883">
      <w:pPr>
        <w:spacing w:line="360" w:lineRule="auto"/>
        <w:jc w:val="both"/>
        <w:rPr>
          <w:rFonts w:cs="Times New Roman"/>
          <w:color w:val="000000" w:themeColor="text1"/>
          <w:sz w:val="18"/>
          <w:szCs w:val="18"/>
          <w:lang w:bidi="fa-IR"/>
        </w:rPr>
      </w:pPr>
      <w:r w:rsidRPr="00365920">
        <w:rPr>
          <w:rFonts w:cs="Times New Roman"/>
          <w:color w:val="000000" w:themeColor="text1"/>
          <w:sz w:val="18"/>
          <w:szCs w:val="18"/>
          <w:lang w:bidi="fa-IR"/>
        </w:rPr>
        <w:t xml:space="preserve">The transmission of antibiotic residues through the food chain to humans is one of the main concerns of human health due to the emergence of various adverse effects, such as antibiotic resistance. The primary source of antibiotic residues in foods driven from animals is the misuse of antimicrobial drugs in animals. This study aimed to develop and validate a selective and sensitive multi-residues method using ultra-high performance liquid chromatography-tandem mass spectrometry on solid-phase extraction to analyze seven antibiotics from two different antibiotic groups of sulfonamides (sulfadimethoxine, </w:t>
      </w:r>
      <w:r w:rsidRPr="00365920">
        <w:rPr>
          <w:rFonts w:cs="Times New Roman"/>
          <w:sz w:val="18"/>
          <w:szCs w:val="18"/>
        </w:rPr>
        <w:t>sulfaquinoxaline, sulfadiazine, sulfathiazole)</w:t>
      </w:r>
      <w:r w:rsidRPr="00365920">
        <w:rPr>
          <w:rFonts w:cs="Times New Roman"/>
          <w:color w:val="000000" w:themeColor="text1"/>
          <w:sz w:val="18"/>
          <w:szCs w:val="18"/>
          <w:lang w:bidi="fa-IR"/>
        </w:rPr>
        <w:t xml:space="preserve"> and macrolides (j</w:t>
      </w:r>
      <w:r w:rsidRPr="00365920">
        <w:rPr>
          <w:rFonts w:cs="Times New Roman"/>
          <w:bCs/>
          <w:sz w:val="18"/>
          <w:szCs w:val="18"/>
          <w:lang w:bidi="fa-IR"/>
        </w:rPr>
        <w:t xml:space="preserve">osamycin, </w:t>
      </w:r>
      <w:r w:rsidRPr="00365920">
        <w:rPr>
          <w:rFonts w:cs="Times New Roman"/>
          <w:bCs/>
          <w:sz w:val="18"/>
          <w:szCs w:val="18"/>
        </w:rPr>
        <w:t>roxithromycin),</w:t>
      </w:r>
      <w:r w:rsidRPr="00365920">
        <w:rPr>
          <w:rFonts w:cs="Times New Roman"/>
          <w:color w:val="000000" w:themeColor="text1"/>
          <w:sz w:val="18"/>
          <w:szCs w:val="18"/>
          <w:lang w:bidi="fa-IR"/>
        </w:rPr>
        <w:t xml:space="preserve"> as well as griseofulvin in Iranian yogurt samples. The separation of analytes was applied on the c18 column using reverse-phase and electrospray ionization in a positive mode. The limit of quantification and limit of detection of the method were obtained at ten ng/g and 3.3 ng/g, respectively, which confirmed the method's sensitivity by the limit of quantification lower than the maximum residue limits. The average recovery was 104.13-116.3%, and the relative standard deviation was ≤ 16% for all antibiotics. The validated method was applied to 34 actual Iranian low-fat yogurt samples and revealed no antibiotic contamination.</w:t>
      </w:r>
    </w:p>
    <w:p w14:paraId="519110A6" w14:textId="00F9156E" w:rsidR="00AE3E37" w:rsidRPr="00154170" w:rsidRDefault="00A9710C" w:rsidP="00E32A22">
      <w:pPr>
        <w:pStyle w:val="Heading3"/>
        <w:spacing w:before="74"/>
        <w:rPr>
          <w:b w:val="0"/>
        </w:rPr>
      </w:pPr>
      <w:r>
        <w:rPr>
          <w:b w:val="0"/>
        </w:rPr>
        <w:br w:type="column"/>
      </w:r>
      <w:r>
        <w:rPr>
          <w:color w:val="BF5A14"/>
        </w:rPr>
        <w:t>Image</w:t>
      </w:r>
    </w:p>
    <w:p w14:paraId="3D3B5694" w14:textId="2E96B8C9" w:rsidR="00154170" w:rsidRPr="003C65B7" w:rsidRDefault="003C65B7" w:rsidP="003C65B7">
      <w:pPr>
        <w:pStyle w:val="BodyText"/>
        <w:spacing w:before="2"/>
        <w:rPr>
          <w:rFonts w:ascii="Arial"/>
          <w:b/>
          <w:sz w:val="16"/>
        </w:rPr>
      </w:pPr>
      <w:r>
        <w:rPr>
          <w:rFonts w:ascii="Arial"/>
          <w:b/>
          <w:noProof/>
          <w:sz w:val="16"/>
        </w:rPr>
        <w:drawing>
          <wp:anchor distT="0" distB="0" distL="114300" distR="114300" simplePos="0" relativeHeight="251659264" behindDoc="0" locked="0" layoutInCell="1" allowOverlap="1" wp14:anchorId="586492CD" wp14:editId="44FA1BF0">
            <wp:simplePos x="0" y="0"/>
            <wp:positionH relativeFrom="column">
              <wp:posOffset>235499</wp:posOffset>
            </wp:positionH>
            <wp:positionV relativeFrom="paragraph">
              <wp:posOffset>163762</wp:posOffset>
            </wp:positionV>
            <wp:extent cx="2932430" cy="1424940"/>
            <wp:effectExtent l="0" t="0" r="1270" b="3810"/>
            <wp:wrapTight wrapText="bothSides">
              <wp:wrapPolygon edited="0">
                <wp:start x="0" y="0"/>
                <wp:lineTo x="0" y="21369"/>
                <wp:lineTo x="21469" y="21369"/>
                <wp:lineTo x="2146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2430" cy="1424940"/>
                    </a:xfrm>
                    <a:prstGeom prst="rect">
                      <a:avLst/>
                    </a:prstGeom>
                  </pic:spPr>
                </pic:pic>
              </a:graphicData>
            </a:graphic>
            <wp14:sizeRelH relativeFrom="margin">
              <wp14:pctWidth>0</wp14:pctWidth>
            </wp14:sizeRelH>
            <wp14:sizeRelV relativeFrom="margin">
              <wp14:pctHeight>0</wp14:pctHeight>
            </wp14:sizeRelV>
          </wp:anchor>
        </w:drawing>
      </w:r>
    </w:p>
    <w:p w14:paraId="236C3263" w14:textId="282178C2" w:rsidR="005973B9" w:rsidRDefault="005973B9" w:rsidP="005973B9">
      <w:pPr>
        <w:spacing w:line="204" w:lineRule="exact"/>
        <w:rPr>
          <w:rFonts w:ascii="Arial"/>
          <w:b/>
          <w:sz w:val="20"/>
        </w:rPr>
      </w:pPr>
      <w:r>
        <w:rPr>
          <w:rFonts w:ascii="Arial"/>
          <w:b/>
          <w:color w:val="BF5A14"/>
          <w:sz w:val="20"/>
        </w:rPr>
        <w:t>Recent Publications</w:t>
      </w:r>
    </w:p>
    <w:p w14:paraId="6C26BE51" w14:textId="77777777" w:rsidR="00E32A22" w:rsidRPr="00E32A22" w:rsidRDefault="00E32A22" w:rsidP="00453411">
      <w:pPr>
        <w:tabs>
          <w:tab w:val="left" w:pos="384"/>
        </w:tabs>
        <w:ind w:right="117"/>
        <w:jc w:val="both"/>
        <w:rPr>
          <w:rFonts w:eastAsia="Calibri" w:cstheme="minorBidi"/>
          <w:sz w:val="18"/>
          <w:szCs w:val="18"/>
        </w:rPr>
      </w:pPr>
      <w:r w:rsidRPr="00E32A22">
        <w:rPr>
          <w:rFonts w:eastAsia="Calibri" w:cstheme="minorBidi"/>
          <w:sz w:val="18"/>
          <w:szCs w:val="18"/>
        </w:rPr>
        <w:t>1.</w:t>
      </w:r>
      <w:r w:rsidRPr="00E32A22">
        <w:rPr>
          <w:rFonts w:eastAsia="Calibri" w:cstheme="minorBidi"/>
          <w:sz w:val="18"/>
          <w:szCs w:val="18"/>
        </w:rPr>
        <w:tab/>
        <w:t>Tölgyesi Á, Barta E, Sohn M, Sharma VK. Determination of antimicrobial residues in honey by liquid chromatography tandem mass spectrometry. Food Analytical Methods. 2018;11(8):2043-55.</w:t>
      </w:r>
    </w:p>
    <w:p w14:paraId="25602D27" w14:textId="2739281D" w:rsidR="00E32A22" w:rsidRPr="00E32A22" w:rsidRDefault="00E32A22" w:rsidP="00453411">
      <w:pPr>
        <w:tabs>
          <w:tab w:val="left" w:pos="384"/>
        </w:tabs>
        <w:ind w:right="117"/>
        <w:jc w:val="both"/>
        <w:rPr>
          <w:rFonts w:eastAsia="Calibri" w:cstheme="minorBidi"/>
          <w:sz w:val="18"/>
          <w:szCs w:val="18"/>
        </w:rPr>
      </w:pPr>
      <w:r w:rsidRPr="00E32A22">
        <w:rPr>
          <w:rFonts w:eastAsia="Calibri" w:cstheme="minorBidi"/>
          <w:sz w:val="18"/>
          <w:szCs w:val="18"/>
        </w:rPr>
        <w:t>2.</w:t>
      </w:r>
      <w:r w:rsidRPr="00E32A22">
        <w:rPr>
          <w:rFonts w:eastAsia="Calibri" w:cstheme="minorBidi"/>
          <w:sz w:val="18"/>
          <w:szCs w:val="18"/>
        </w:rPr>
        <w:tab/>
      </w:r>
      <w:r w:rsidR="00453411" w:rsidRPr="0038020D">
        <w:rPr>
          <w:rFonts w:cstheme="minorBidi"/>
          <w:sz w:val="18"/>
          <w:szCs w:val="18"/>
        </w:rPr>
        <w:t>Schwaiger B, König J, Lesueur C (2018) Food analytical methods 11:1417-1434.</w:t>
      </w:r>
    </w:p>
    <w:p w14:paraId="75B0F13B" w14:textId="27226526" w:rsidR="00E32A22" w:rsidRPr="0038020D" w:rsidRDefault="00E32A22" w:rsidP="00453411">
      <w:pPr>
        <w:tabs>
          <w:tab w:val="left" w:pos="384"/>
        </w:tabs>
        <w:ind w:right="117"/>
        <w:jc w:val="both"/>
        <w:rPr>
          <w:rFonts w:eastAsia="Calibri" w:cstheme="minorBidi"/>
          <w:sz w:val="18"/>
          <w:szCs w:val="18"/>
        </w:rPr>
      </w:pPr>
      <w:r w:rsidRPr="00E32A22">
        <w:rPr>
          <w:rFonts w:eastAsia="Calibri" w:cstheme="minorBidi"/>
          <w:sz w:val="18"/>
          <w:szCs w:val="18"/>
        </w:rPr>
        <w:t>3.</w:t>
      </w:r>
      <w:r w:rsidRPr="00E32A22">
        <w:rPr>
          <w:rFonts w:eastAsia="Calibri" w:cstheme="minorBidi"/>
          <w:sz w:val="18"/>
          <w:szCs w:val="18"/>
        </w:rPr>
        <w:tab/>
        <w:t>Alrhia L, Mohamad I, editors. Validation of the analytical method for determination of tetracycline residues in poultry chest, thigh and liver by HPLC-DAD technique. Journal of Physics: Conference Series; 2021: IOP Publishing.</w:t>
      </w:r>
    </w:p>
    <w:p w14:paraId="6D8F1EE5" w14:textId="79B09CBD" w:rsidR="00E32A22" w:rsidRPr="0038020D" w:rsidRDefault="00E32A22" w:rsidP="00453411">
      <w:pPr>
        <w:tabs>
          <w:tab w:val="left" w:pos="384"/>
        </w:tabs>
        <w:ind w:right="117"/>
        <w:jc w:val="both"/>
        <w:rPr>
          <w:rFonts w:cstheme="minorBidi"/>
          <w:sz w:val="18"/>
          <w:szCs w:val="18"/>
        </w:rPr>
      </w:pPr>
      <w:r w:rsidRPr="0038020D">
        <w:rPr>
          <w:rFonts w:eastAsia="Calibri" w:cstheme="minorBidi"/>
          <w:sz w:val="18"/>
          <w:szCs w:val="18"/>
        </w:rPr>
        <w:t>4</w:t>
      </w:r>
      <w:r w:rsidRPr="00483A8D">
        <w:rPr>
          <w:rFonts w:eastAsia="Calibri" w:cstheme="minorBidi"/>
          <w:sz w:val="18"/>
          <w:szCs w:val="18"/>
        </w:rPr>
        <w:t xml:space="preserve">. </w:t>
      </w:r>
      <w:r w:rsidR="000873B4" w:rsidRPr="00483A8D">
        <w:rPr>
          <w:rFonts w:eastAsia="Calibri" w:cstheme="minorBidi"/>
          <w:sz w:val="18"/>
          <w:szCs w:val="18"/>
        </w:rPr>
        <w:t xml:space="preserve">     </w:t>
      </w:r>
      <w:r w:rsidR="00483A8D" w:rsidRPr="00483A8D">
        <w:rPr>
          <w:sz w:val="18"/>
          <w:szCs w:val="18"/>
        </w:rPr>
        <w:t>Rabiei S, Zahedi M, Abtahi M, Doustmohammadian A, Dadkhah M, Zoghi T, Hajigholam-saryazdi M (2021) Clinical Nutrition Open Science 38:1-23.</w:t>
      </w:r>
    </w:p>
    <w:p w14:paraId="28BA5EBD" w14:textId="0DC3142E" w:rsidR="000873B4" w:rsidRPr="00E32A22" w:rsidRDefault="000873B4" w:rsidP="00453411">
      <w:pPr>
        <w:tabs>
          <w:tab w:val="left" w:pos="384"/>
        </w:tabs>
        <w:ind w:right="117"/>
        <w:jc w:val="both"/>
        <w:rPr>
          <w:rFonts w:eastAsia="Calibri" w:cstheme="minorBidi"/>
          <w:sz w:val="18"/>
          <w:szCs w:val="18"/>
        </w:rPr>
      </w:pPr>
      <w:r w:rsidRPr="0038020D">
        <w:rPr>
          <w:rFonts w:cstheme="minorBidi"/>
          <w:sz w:val="18"/>
          <w:szCs w:val="18"/>
        </w:rPr>
        <w:t xml:space="preserve">5.    </w:t>
      </w:r>
      <w:r w:rsidR="0038020D">
        <w:rPr>
          <w:rFonts w:cstheme="minorBidi"/>
          <w:sz w:val="18"/>
          <w:szCs w:val="18"/>
        </w:rPr>
        <w:t xml:space="preserve"> </w:t>
      </w:r>
      <w:r w:rsidR="00453411" w:rsidRPr="0038020D">
        <w:rPr>
          <w:rFonts w:cstheme="minorBidi"/>
          <w:sz w:val="18"/>
          <w:szCs w:val="18"/>
        </w:rPr>
        <w:t>Guideline IHT (2022) validation of analytical procedures Q2 (R1). In: International Conference of Harmonization Switzerland Geneva</w:t>
      </w:r>
    </w:p>
    <w:p w14:paraId="7EF41DE4" w14:textId="4A6F683D" w:rsidR="00AE3E37" w:rsidRDefault="00AE3E37" w:rsidP="008756E6">
      <w:pPr>
        <w:tabs>
          <w:tab w:val="left" w:pos="384"/>
        </w:tabs>
        <w:ind w:right="117"/>
        <w:rPr>
          <w:rtl/>
        </w:rPr>
      </w:pPr>
    </w:p>
    <w:p w14:paraId="2EFEB837" w14:textId="77777777" w:rsidR="003C65B7" w:rsidRPr="008756E6" w:rsidRDefault="003C65B7" w:rsidP="008756E6">
      <w:pPr>
        <w:tabs>
          <w:tab w:val="left" w:pos="384"/>
        </w:tabs>
        <w:ind w:right="117"/>
      </w:pPr>
    </w:p>
    <w:p w14:paraId="762B9DC6"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250AF24" w14:textId="629D8767" w:rsidR="00AE3E37" w:rsidRDefault="00AE3E37">
      <w:pPr>
        <w:pStyle w:val="BodyText"/>
        <w:rPr>
          <w:rFonts w:ascii="Calibri"/>
          <w:sz w:val="20"/>
        </w:rPr>
      </w:pPr>
    </w:p>
    <w:p w14:paraId="6C5BB571" w14:textId="6AC33A9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76131CC" wp14:editId="07B8F15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290C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92B7C21" w14:textId="167E4552" w:rsidR="00E4450F" w:rsidRDefault="00F325C3" w:rsidP="00404E5B">
      <w:pPr>
        <w:spacing w:before="92"/>
        <w:ind w:right="4234"/>
        <w:rPr>
          <w:noProof/>
        </w:rPr>
      </w:pPr>
      <w:r>
        <w:rPr>
          <w:rFonts w:ascii="Times New Roman" w:hAnsi="Times New Roman" w:cs="Times New Roman"/>
          <w:noProof/>
          <w:sz w:val="24"/>
          <w:szCs w:val="24"/>
        </w:rPr>
        <w:drawing>
          <wp:anchor distT="0" distB="0" distL="114300" distR="114300" simplePos="0" relativeHeight="251553280" behindDoc="0" locked="0" layoutInCell="1" allowOverlap="1" wp14:anchorId="256F1D99" wp14:editId="413F16D0">
            <wp:simplePos x="0" y="0"/>
            <wp:positionH relativeFrom="column">
              <wp:posOffset>693420</wp:posOffset>
            </wp:positionH>
            <wp:positionV relativeFrom="paragraph">
              <wp:posOffset>156210</wp:posOffset>
            </wp:positionV>
            <wp:extent cx="376555" cy="541655"/>
            <wp:effectExtent l="0" t="0" r="4445" b="0"/>
            <wp:wrapTight wrapText="bothSides">
              <wp:wrapPolygon edited="0">
                <wp:start x="0" y="0"/>
                <wp:lineTo x="0" y="20511"/>
                <wp:lineTo x="20762" y="20511"/>
                <wp:lineTo x="2076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9" cstate="print">
                      <a:extLst>
                        <a:ext uri="{28A0092B-C50C-407E-A947-70E740481C1C}">
                          <a14:useLocalDpi xmlns:a14="http://schemas.microsoft.com/office/drawing/2010/main" val="0"/>
                        </a:ext>
                      </a:extLst>
                    </a:blip>
                    <a:srcRect l="12338" t="5454" r="20489" b="18740"/>
                    <a:stretch/>
                  </pic:blipFill>
                  <pic:spPr bwMode="auto">
                    <a:xfrm>
                      <a:off x="0" y="0"/>
                      <a:ext cx="376555" cy="541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56E6">
        <w:rPr>
          <w:noProof/>
        </w:rPr>
        <w:t xml:space="preserve">              </w:t>
      </w:r>
    </w:p>
    <w:p w14:paraId="05AF5A9D" w14:textId="053623D9" w:rsidR="00E4450F" w:rsidRDefault="00F325C3" w:rsidP="00404E5B">
      <w:pPr>
        <w:spacing w:before="92"/>
        <w:ind w:right="4234"/>
        <w:rPr>
          <w:noProof/>
        </w:rPr>
      </w:pPr>
      <w:r>
        <w:rPr>
          <w:rFonts w:eastAsia="MS PGothic"/>
          <w:b/>
          <w:noProof/>
          <w:color w:val="000000"/>
          <w:sz w:val="28"/>
          <w:szCs w:val="28"/>
        </w:rPr>
        <w:drawing>
          <wp:anchor distT="0" distB="0" distL="114300" distR="114300" simplePos="0" relativeHeight="251555328" behindDoc="1" locked="0" layoutInCell="1" allowOverlap="1" wp14:anchorId="382D520E" wp14:editId="4030DEC9">
            <wp:simplePos x="0" y="0"/>
            <wp:positionH relativeFrom="column">
              <wp:posOffset>4606290</wp:posOffset>
            </wp:positionH>
            <wp:positionV relativeFrom="paragraph">
              <wp:posOffset>67945</wp:posOffset>
            </wp:positionV>
            <wp:extent cx="1504950" cy="342900"/>
            <wp:effectExtent l="0" t="0" r="0" b="0"/>
            <wp:wrapTight wrapText="bothSides">
              <wp:wrapPolygon edited="0">
                <wp:start x="0" y="0"/>
                <wp:lineTo x="0" y="20400"/>
                <wp:lineTo x="21327" y="20400"/>
                <wp:lineTo x="2132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49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4CA731" w14:textId="0909F322" w:rsidR="00AE3E37" w:rsidRPr="00F325C3" w:rsidRDefault="00A9710C" w:rsidP="00404E5B">
      <w:pPr>
        <w:spacing w:before="92"/>
        <w:ind w:right="4234"/>
        <w:rPr>
          <w:rFonts w:ascii="Arial"/>
          <w:b/>
          <w:bCs/>
          <w:sz w:val="20"/>
          <w:szCs w:val="20"/>
        </w:rPr>
      </w:pPr>
      <w:r w:rsidRPr="00F325C3">
        <w:rPr>
          <w:rFonts w:ascii="Arial"/>
          <w:b/>
          <w:bCs/>
          <w:color w:val="BF5A14"/>
          <w:sz w:val="20"/>
          <w:szCs w:val="20"/>
        </w:rPr>
        <w:t>Biography</w:t>
      </w:r>
      <w:r w:rsidR="00404E5B" w:rsidRPr="00F325C3">
        <w:rPr>
          <w:rFonts w:ascii="Arial"/>
          <w:b/>
          <w:bCs/>
          <w:color w:val="BF5A14"/>
          <w:sz w:val="20"/>
          <w:szCs w:val="20"/>
        </w:rPr>
        <w:t xml:space="preserve"> </w:t>
      </w:r>
    </w:p>
    <w:p w14:paraId="7D165215" w14:textId="77777777" w:rsidR="00F325C3" w:rsidRDefault="00F325C3">
      <w:pPr>
        <w:spacing w:before="41" w:line="154" w:lineRule="exact"/>
        <w:ind w:left="213" w:right="231"/>
        <w:jc w:val="both"/>
        <w:rPr>
          <w:rFonts w:ascii="Arial"/>
          <w:sz w:val="14"/>
        </w:rPr>
      </w:pPr>
    </w:p>
    <w:p w14:paraId="11DDF146" w14:textId="22A83C8E" w:rsidR="00C1250F" w:rsidRDefault="0083398B" w:rsidP="00C1250F">
      <w:pPr>
        <w:spacing w:before="41" w:line="154" w:lineRule="exact"/>
        <w:ind w:left="213" w:right="231"/>
        <w:jc w:val="both"/>
        <w:rPr>
          <w:rFonts w:ascii="Arial" w:hAnsi="Arial" w:cs="Arial"/>
          <w:sz w:val="14"/>
          <w:szCs w:val="14"/>
        </w:rPr>
      </w:pPr>
      <w:r w:rsidRPr="00C1250F">
        <w:rPr>
          <w:rFonts w:ascii="Arial" w:hAnsi="Arial" w:cs="Arial"/>
          <w:sz w:val="14"/>
          <w:szCs w:val="14"/>
        </w:rPr>
        <w:t xml:space="preserve">Sara Kheirandish is a master of </w:t>
      </w:r>
      <w:r w:rsidR="00717CC5">
        <w:rPr>
          <w:rFonts w:ascii="Arial" w:hAnsi="Arial" w:cs="Arial"/>
          <w:sz w:val="14"/>
          <w:szCs w:val="14"/>
        </w:rPr>
        <w:t>“T</w:t>
      </w:r>
      <w:r w:rsidRPr="00C1250F">
        <w:rPr>
          <w:rFonts w:ascii="Arial" w:hAnsi="Arial" w:cs="Arial"/>
          <w:sz w:val="14"/>
          <w:szCs w:val="14"/>
        </w:rPr>
        <w:t>oxicology</w:t>
      </w:r>
      <w:r w:rsidR="00717CC5">
        <w:rPr>
          <w:rFonts w:ascii="Arial" w:hAnsi="Arial" w:cs="Arial"/>
          <w:sz w:val="14"/>
          <w:szCs w:val="14"/>
        </w:rPr>
        <w:t>”</w:t>
      </w:r>
      <w:r w:rsidRPr="00C1250F">
        <w:rPr>
          <w:rFonts w:ascii="Arial" w:hAnsi="Arial" w:cs="Arial"/>
          <w:sz w:val="14"/>
          <w:szCs w:val="14"/>
        </w:rPr>
        <w:t xml:space="preserve"> at Tehran University of Medical Sciences, School of Medicine. She has completed her master thesis on the “method validation for simultaneous determination of antibiotic residues in yogurt samples by SPE clean-up and UHPLC/MS/MS” at Tehran University of Medical Sciences.  She also participated as a </w:t>
      </w:r>
      <w:r w:rsidR="00717CC5">
        <w:rPr>
          <w:rFonts w:ascii="Arial" w:hAnsi="Arial" w:cs="Arial"/>
          <w:sz w:val="14"/>
          <w:szCs w:val="14"/>
        </w:rPr>
        <w:t>“</w:t>
      </w:r>
      <w:r w:rsidRPr="00C1250F">
        <w:rPr>
          <w:rFonts w:ascii="Arial" w:hAnsi="Arial" w:cs="Arial"/>
          <w:sz w:val="14"/>
          <w:szCs w:val="14"/>
        </w:rPr>
        <w:t>research assistant</w:t>
      </w:r>
      <w:r w:rsidR="00717CC5">
        <w:rPr>
          <w:rFonts w:ascii="Arial" w:hAnsi="Arial" w:cs="Arial"/>
          <w:sz w:val="14"/>
          <w:szCs w:val="14"/>
        </w:rPr>
        <w:t>”</w:t>
      </w:r>
      <w:r w:rsidRPr="00C1250F">
        <w:rPr>
          <w:rFonts w:ascii="Arial" w:hAnsi="Arial" w:cs="Arial"/>
          <w:sz w:val="14"/>
          <w:szCs w:val="14"/>
        </w:rPr>
        <w:t xml:space="preserve"> on the “melatonin and the EAE model of multiple sclerosis” project at Tehran University of Medical Sciences, School of Medicine, </w:t>
      </w:r>
      <w:r w:rsidR="00717CC5">
        <w:rPr>
          <w:rFonts w:ascii="Arial" w:hAnsi="Arial" w:cs="Arial"/>
          <w:sz w:val="14"/>
          <w:szCs w:val="14"/>
        </w:rPr>
        <w:t>D</w:t>
      </w:r>
      <w:r w:rsidRPr="00C1250F">
        <w:rPr>
          <w:rFonts w:ascii="Arial" w:hAnsi="Arial" w:cs="Arial"/>
          <w:sz w:val="14"/>
          <w:szCs w:val="14"/>
        </w:rPr>
        <w:t xml:space="preserve">epartment of pharmacology. Likewise, she is relatively skilled in method validation, gel electrophoresis, extraction of DNA and RNA, and PCR technique. Furthermore, she is very interested in research in human health, gene expression, food and drug analysis, also bioinformatic topics. </w:t>
      </w:r>
    </w:p>
    <w:p w14:paraId="56D7384E" w14:textId="1BE7420F" w:rsidR="00AE3E37" w:rsidRPr="00542BD5" w:rsidRDefault="0083398B" w:rsidP="00C1250F">
      <w:pPr>
        <w:spacing w:before="41" w:line="154" w:lineRule="exact"/>
        <w:ind w:left="213" w:right="231"/>
        <w:jc w:val="both"/>
        <w:rPr>
          <w:rFonts w:ascii="Arial" w:hAnsi="Arial" w:cs="Arial"/>
          <w:sz w:val="14"/>
        </w:rPr>
      </w:pPr>
      <w:r w:rsidRPr="00C1250F">
        <w:rPr>
          <w:rFonts w:ascii="Arial" w:hAnsi="Arial" w:cs="Arial"/>
          <w:sz w:val="14"/>
          <w:szCs w:val="14"/>
        </w:rPr>
        <w:t xml:space="preserve"> </w:t>
      </w:r>
      <w:r w:rsidR="00542BD5" w:rsidRPr="00C1250F">
        <w:rPr>
          <w:rFonts w:ascii="Arial" w:hAnsi="Arial" w:cs="Arial"/>
          <w:sz w:val="14"/>
        </w:rPr>
        <w:t xml:space="preserve">                                                                                               </w:t>
      </w:r>
      <w:r w:rsidR="00483A8D" w:rsidRPr="00C1250F">
        <w:rPr>
          <w:rFonts w:ascii="Arial" w:hAnsi="Arial" w:cs="Arial"/>
          <w:sz w:val="14"/>
        </w:rPr>
        <w:t xml:space="preserve">            </w:t>
      </w:r>
      <w:r w:rsidR="00A9710C">
        <w:rPr>
          <w:rFonts w:ascii="Arial"/>
          <w:sz w:val="14"/>
        </w:rPr>
        <w:t>Email:</w:t>
      </w:r>
      <w:r w:rsidR="00542BD5">
        <w:rPr>
          <w:rFonts w:ascii="Arial"/>
          <w:sz w:val="14"/>
        </w:rPr>
        <w:t xml:space="preserve"> </w:t>
      </w:r>
      <w:r w:rsidR="00972F60" w:rsidRPr="00542BD5">
        <w:rPr>
          <w:rFonts w:ascii="Arial" w:hAnsi="Arial" w:cs="Arial"/>
          <w:sz w:val="14"/>
        </w:rPr>
        <w:t>skheirandish@alumnus.tums.ac.ir</w:t>
      </w:r>
    </w:p>
    <w:p w14:paraId="1997F2A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E9C56DF" wp14:editId="1EBD68C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C734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B83BB29" w14:textId="77777777" w:rsidR="00AE3E37" w:rsidRDefault="00AE3E37">
      <w:pPr>
        <w:pStyle w:val="BodyText"/>
        <w:spacing w:before="7"/>
        <w:rPr>
          <w:rFonts w:ascii="Arial"/>
          <w:sz w:val="29"/>
        </w:rPr>
      </w:pPr>
    </w:p>
    <w:p w14:paraId="28358AB7" w14:textId="381363BA" w:rsidR="00EA7D51" w:rsidRDefault="00A9710C" w:rsidP="00736BFE">
      <w:pPr>
        <w:spacing w:before="39"/>
        <w:rPr>
          <w:rFonts w:ascii="Minion Pro"/>
          <w:b/>
          <w:sz w:val="20"/>
        </w:rPr>
      </w:pPr>
      <w:r w:rsidRPr="00B21A57">
        <w:rPr>
          <w:rFonts w:ascii="Minion Pro"/>
          <w:b/>
          <w:sz w:val="20"/>
        </w:rPr>
        <w:t>Notes/Comments:</w:t>
      </w:r>
    </w:p>
    <w:p w14:paraId="291760C1" w14:textId="16FA3923" w:rsidR="00EA7D51" w:rsidRPr="0058111A"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8111A">
        <w:rPr>
          <w:sz w:val="20"/>
          <w:szCs w:val="20"/>
          <w:lang w:val="en-NZ"/>
        </w:rPr>
        <w:t>Sara Kheirandish</w:t>
      </w:r>
      <w:r w:rsidRPr="00F35A62">
        <w:rPr>
          <w:sz w:val="20"/>
          <w:szCs w:val="20"/>
          <w:lang w:val="en-NZ"/>
        </w:rPr>
        <w:br/>
        <w:t>Contact number:</w:t>
      </w:r>
      <w:r w:rsidR="0058111A">
        <w:rPr>
          <w:sz w:val="20"/>
          <w:szCs w:val="20"/>
          <w:lang w:val="en-NZ"/>
        </w:rPr>
        <w:t xml:space="preserve"> 00989013433672</w:t>
      </w:r>
      <w:r w:rsidRPr="00F35A62">
        <w:rPr>
          <w:sz w:val="20"/>
          <w:szCs w:val="20"/>
          <w:lang w:val="en-NZ"/>
        </w:rPr>
        <w:br/>
        <w:t>Linked In account:</w:t>
      </w:r>
      <w:r w:rsidR="0058111A">
        <w:rPr>
          <w:sz w:val="20"/>
          <w:szCs w:val="20"/>
          <w:lang w:val="en-NZ"/>
        </w:rPr>
        <w:t xml:space="preserve"> </w:t>
      </w:r>
      <w:r w:rsidR="0058111A" w:rsidRPr="0058111A">
        <w:rPr>
          <w:rStyle w:val="vanity-namedomain"/>
          <w:rFonts w:cs="Times New Roman"/>
          <w:sz w:val="20"/>
          <w:szCs w:val="20"/>
          <w:bdr w:val="none" w:sz="0" w:space="0" w:color="auto" w:frame="1"/>
          <w:shd w:val="clear" w:color="auto" w:fill="FFFFFF"/>
        </w:rPr>
        <w:t>www.linkedin.com/in/</w:t>
      </w:r>
      <w:r w:rsidR="0058111A" w:rsidRPr="0058111A">
        <w:rPr>
          <w:rStyle w:val="break-words"/>
          <w:rFonts w:cs="Times New Roman"/>
          <w:sz w:val="20"/>
          <w:szCs w:val="20"/>
          <w:bdr w:val="none" w:sz="0" w:space="0" w:color="auto" w:frame="1"/>
          <w:shd w:val="clear" w:color="auto" w:fill="FFFFFF"/>
        </w:rPr>
        <w:t>sarakheirandishtoxicology</w:t>
      </w:r>
    </w:p>
    <w:p w14:paraId="4EA0384D" w14:textId="6605418D" w:rsidR="00736BFE" w:rsidRPr="00736BFE" w:rsidRDefault="00EA7D51" w:rsidP="00736BFE">
      <w:pPr>
        <w:autoSpaceDE w:val="0"/>
        <w:autoSpaceDN w:val="0"/>
        <w:adjustRightInd w:val="0"/>
        <w:rPr>
          <w:sz w:val="20"/>
          <w:szCs w:val="20"/>
          <w:lang w:val="en-NZ"/>
        </w:rPr>
        <w:sectPr w:rsidR="00736BFE" w:rsidRPr="00736BFE"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58111A">
        <w:rPr>
          <w:sz w:val="20"/>
          <w:szCs w:val="20"/>
          <w:lang w:val="en-NZ"/>
        </w:rPr>
        <w:t>Analytical Toxicology</w:t>
      </w:r>
      <w:r w:rsidRPr="00F35A62">
        <w:rPr>
          <w:sz w:val="20"/>
          <w:szCs w:val="20"/>
          <w:lang w:val="en-NZ"/>
        </w:rPr>
        <w:br/>
        <w:t xml:space="preserve">Category: Poster </w:t>
      </w:r>
      <w:r w:rsidR="00736BFE">
        <w:rPr>
          <w:sz w:val="20"/>
          <w:szCs w:val="20"/>
          <w:lang w:val="en-NZ"/>
        </w:rPr>
        <w:t xml:space="preserve">presentation </w:t>
      </w:r>
    </w:p>
    <w:p w14:paraId="739CB0B8" w14:textId="5DCE6647" w:rsidR="00AE3E37" w:rsidRDefault="00AE3E37" w:rsidP="002A3C38">
      <w:pPr>
        <w:jc w:val="both"/>
        <w:rPr>
          <w:rFonts w:ascii="Minion Pro"/>
          <w:sz w:val="26"/>
        </w:rPr>
      </w:pPr>
    </w:p>
    <w:p w14:paraId="1686A4B1" w14:textId="573C5B99" w:rsidR="00F176D1" w:rsidRPr="00F176D1" w:rsidRDefault="00F176D1" w:rsidP="00F176D1">
      <w:pPr>
        <w:rPr>
          <w:rFonts w:ascii="Minion Pro"/>
          <w:sz w:val="26"/>
        </w:rPr>
      </w:pPr>
    </w:p>
    <w:p w14:paraId="3D6EBFAE" w14:textId="52369B37" w:rsidR="00F176D1" w:rsidRPr="00F176D1" w:rsidRDefault="00F176D1" w:rsidP="00F176D1">
      <w:pPr>
        <w:rPr>
          <w:rFonts w:ascii="Minion Pro"/>
          <w:sz w:val="26"/>
        </w:rPr>
      </w:pPr>
    </w:p>
    <w:p w14:paraId="40BF243B" w14:textId="21E3F6A6" w:rsidR="00F176D1" w:rsidRDefault="00F176D1" w:rsidP="00F176D1">
      <w:pPr>
        <w:rPr>
          <w:rFonts w:ascii="Minion Pro"/>
          <w:sz w:val="26"/>
        </w:rPr>
      </w:pPr>
    </w:p>
    <w:p w14:paraId="775F1D32" w14:textId="6ADBAFF0" w:rsidR="00F176D1" w:rsidRDefault="00F176D1" w:rsidP="0022280D">
      <w:pPr>
        <w:tabs>
          <w:tab w:val="left" w:pos="4098"/>
        </w:tabs>
        <w:rPr>
          <w:rFonts w:ascii="Minion Pro"/>
          <w:sz w:val="26"/>
        </w:rPr>
      </w:pPr>
      <w:r>
        <w:rPr>
          <w:rFonts w:ascii="Minion Pro"/>
          <w:sz w:val="26"/>
        </w:rPr>
        <w:tab/>
      </w:r>
    </w:p>
    <w:p w14:paraId="49A85D54" w14:textId="5B112B44" w:rsidR="00C44A1A" w:rsidRDefault="00C44A1A" w:rsidP="0022280D">
      <w:pPr>
        <w:tabs>
          <w:tab w:val="left" w:pos="4098"/>
        </w:tabs>
        <w:rPr>
          <w:rFonts w:ascii="Minion Pro"/>
          <w:sz w:val="26"/>
        </w:rPr>
      </w:pPr>
    </w:p>
    <w:p w14:paraId="3CB5C20B" w14:textId="23E200E1" w:rsidR="00C44A1A" w:rsidRDefault="00C44A1A" w:rsidP="0022280D">
      <w:pPr>
        <w:tabs>
          <w:tab w:val="left" w:pos="4098"/>
        </w:tabs>
        <w:rPr>
          <w:rFonts w:ascii="Minion Pro"/>
          <w:sz w:val="26"/>
        </w:rPr>
      </w:pPr>
    </w:p>
    <w:p w14:paraId="30488C42" w14:textId="6A39959E" w:rsidR="00C44A1A" w:rsidRDefault="00C44A1A" w:rsidP="0022280D">
      <w:pPr>
        <w:tabs>
          <w:tab w:val="left" w:pos="4098"/>
        </w:tabs>
        <w:rPr>
          <w:rFonts w:ascii="Minion Pro"/>
          <w:sz w:val="26"/>
        </w:rPr>
      </w:pPr>
    </w:p>
    <w:p w14:paraId="3E2DBFD7" w14:textId="7C257517" w:rsidR="00C44A1A" w:rsidRDefault="00C44A1A" w:rsidP="0022280D">
      <w:pPr>
        <w:tabs>
          <w:tab w:val="left" w:pos="4098"/>
        </w:tabs>
        <w:rPr>
          <w:rFonts w:ascii="Minion Pro"/>
          <w:sz w:val="26"/>
        </w:rPr>
      </w:pPr>
    </w:p>
    <w:p w14:paraId="4409F954" w14:textId="4DAEDCAA" w:rsidR="00C44A1A" w:rsidRDefault="00C44A1A" w:rsidP="0022280D">
      <w:pPr>
        <w:tabs>
          <w:tab w:val="left" w:pos="4098"/>
        </w:tabs>
        <w:rPr>
          <w:rFonts w:ascii="Minion Pro"/>
          <w:sz w:val="26"/>
        </w:rPr>
      </w:pPr>
    </w:p>
    <w:p w14:paraId="485434BB" w14:textId="6E4016BD" w:rsidR="00C44A1A" w:rsidRDefault="00C44A1A" w:rsidP="0022280D">
      <w:pPr>
        <w:tabs>
          <w:tab w:val="left" w:pos="4098"/>
        </w:tabs>
        <w:rPr>
          <w:rFonts w:ascii="Minion Pro"/>
          <w:sz w:val="26"/>
        </w:rPr>
      </w:pPr>
    </w:p>
    <w:p w14:paraId="4D3376DB" w14:textId="4DEBD265" w:rsidR="00C44A1A" w:rsidRDefault="00C44A1A" w:rsidP="0022280D">
      <w:pPr>
        <w:tabs>
          <w:tab w:val="left" w:pos="4098"/>
        </w:tabs>
        <w:rPr>
          <w:rFonts w:ascii="Minion Pro"/>
          <w:sz w:val="26"/>
        </w:rPr>
      </w:pPr>
    </w:p>
    <w:p w14:paraId="6938CD1A" w14:textId="0428C7DE" w:rsidR="00C44A1A" w:rsidRDefault="00C44A1A" w:rsidP="0022280D">
      <w:pPr>
        <w:tabs>
          <w:tab w:val="left" w:pos="4098"/>
        </w:tabs>
        <w:rPr>
          <w:rFonts w:ascii="Minion Pro"/>
          <w:sz w:val="26"/>
        </w:rPr>
      </w:pPr>
    </w:p>
    <w:p w14:paraId="6F75B7CA" w14:textId="28EBF9BA" w:rsidR="00C44A1A" w:rsidRPr="00C70ECF" w:rsidRDefault="00C44A1A" w:rsidP="0022280D">
      <w:pPr>
        <w:tabs>
          <w:tab w:val="left" w:pos="4098"/>
        </w:tabs>
        <w:rPr>
          <w:rFonts w:ascii="Minion Pro" w:cs="Arial"/>
          <w:sz w:val="26"/>
        </w:rPr>
      </w:pPr>
    </w:p>
    <w:p w14:paraId="5742B309" w14:textId="0EABD5BD" w:rsidR="00C44A1A" w:rsidRDefault="00C44A1A" w:rsidP="0022280D">
      <w:pPr>
        <w:tabs>
          <w:tab w:val="left" w:pos="4098"/>
        </w:tabs>
        <w:rPr>
          <w:rFonts w:ascii="Minion Pro"/>
          <w:sz w:val="26"/>
        </w:rPr>
      </w:pPr>
    </w:p>
    <w:p w14:paraId="5B989B97" w14:textId="455895F6" w:rsidR="00C44A1A" w:rsidRDefault="00C44A1A" w:rsidP="0022280D">
      <w:pPr>
        <w:tabs>
          <w:tab w:val="left" w:pos="4098"/>
        </w:tabs>
        <w:rPr>
          <w:rFonts w:ascii="Minion Pro"/>
          <w:sz w:val="26"/>
        </w:rPr>
      </w:pPr>
    </w:p>
    <w:p w14:paraId="7672D74E" w14:textId="522D0B0B" w:rsidR="00C44A1A" w:rsidRDefault="00C44A1A" w:rsidP="0022280D">
      <w:pPr>
        <w:tabs>
          <w:tab w:val="left" w:pos="4098"/>
        </w:tabs>
        <w:rPr>
          <w:rFonts w:ascii="Minion Pro"/>
          <w:sz w:val="26"/>
        </w:rPr>
      </w:pPr>
    </w:p>
    <w:p w14:paraId="4F1C5F15" w14:textId="6F743AF5" w:rsidR="00C44A1A" w:rsidRDefault="00C44A1A" w:rsidP="0022280D">
      <w:pPr>
        <w:tabs>
          <w:tab w:val="left" w:pos="4098"/>
        </w:tabs>
        <w:rPr>
          <w:rFonts w:ascii="Minion Pro"/>
          <w:sz w:val="26"/>
        </w:rPr>
      </w:pPr>
    </w:p>
    <w:p w14:paraId="42D588E0" w14:textId="3D05ED29" w:rsidR="00C44A1A" w:rsidRDefault="00C44A1A" w:rsidP="0022280D">
      <w:pPr>
        <w:tabs>
          <w:tab w:val="left" w:pos="4098"/>
        </w:tabs>
        <w:rPr>
          <w:rFonts w:ascii="Minion Pro"/>
          <w:sz w:val="26"/>
        </w:rPr>
      </w:pPr>
    </w:p>
    <w:p w14:paraId="746B2797" w14:textId="4DDACE61" w:rsidR="00C44A1A" w:rsidRDefault="00C44A1A" w:rsidP="0022280D">
      <w:pPr>
        <w:tabs>
          <w:tab w:val="left" w:pos="4098"/>
        </w:tabs>
        <w:rPr>
          <w:rFonts w:ascii="Minion Pro"/>
          <w:sz w:val="26"/>
        </w:rPr>
      </w:pPr>
    </w:p>
    <w:p w14:paraId="5E2C4943" w14:textId="64036A00" w:rsidR="00C44A1A" w:rsidRDefault="00C44A1A" w:rsidP="0022280D">
      <w:pPr>
        <w:tabs>
          <w:tab w:val="left" w:pos="4098"/>
        </w:tabs>
        <w:rPr>
          <w:rFonts w:ascii="Minion Pro"/>
          <w:sz w:val="26"/>
        </w:rPr>
      </w:pPr>
    </w:p>
    <w:p w14:paraId="720679F5" w14:textId="7D81A4C9" w:rsidR="00C44A1A" w:rsidRDefault="00C44A1A" w:rsidP="0022280D">
      <w:pPr>
        <w:tabs>
          <w:tab w:val="left" w:pos="4098"/>
        </w:tabs>
        <w:rPr>
          <w:rFonts w:ascii="Minion Pro"/>
          <w:sz w:val="26"/>
        </w:rPr>
      </w:pPr>
    </w:p>
    <w:p w14:paraId="719BABBA" w14:textId="7C17F062" w:rsidR="00C44A1A" w:rsidRDefault="00C44A1A" w:rsidP="0022280D">
      <w:pPr>
        <w:tabs>
          <w:tab w:val="left" w:pos="4098"/>
        </w:tabs>
        <w:rPr>
          <w:rFonts w:ascii="Minion Pro"/>
          <w:sz w:val="26"/>
        </w:rPr>
      </w:pPr>
    </w:p>
    <w:p w14:paraId="3D6DDC82" w14:textId="77777777" w:rsidR="00C44A1A" w:rsidRPr="00F176D1" w:rsidRDefault="00C44A1A" w:rsidP="0022280D">
      <w:pPr>
        <w:tabs>
          <w:tab w:val="left" w:pos="4098"/>
        </w:tabs>
        <w:rPr>
          <w:rFonts w:ascii="Minion Pro"/>
          <w:sz w:val="26"/>
        </w:rPr>
      </w:pPr>
    </w:p>
    <w:sectPr w:rsidR="00C44A1A" w:rsidRPr="00F176D1"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AAAE8" w14:textId="77777777" w:rsidR="00695263" w:rsidRDefault="00695263">
      <w:r>
        <w:separator/>
      </w:r>
    </w:p>
  </w:endnote>
  <w:endnote w:type="continuationSeparator" w:id="0">
    <w:p w14:paraId="10F03B01" w14:textId="77777777" w:rsidR="00695263" w:rsidRDefault="00695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CB3AE" w14:textId="0BC8F3B1" w:rsidR="00AE3E37" w:rsidRDefault="00292ED9">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6716FC6A" wp14:editId="373989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C5C7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332AB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6FC6A"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13BC5C7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332AB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28395119" wp14:editId="39E8EBB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926C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BE0C8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95119" id="Text Box 1" o:spid="_x0000_s1027" type="#_x0000_t202" style="position:absolute;margin-left:468.9pt;margin-top:798.8pt;width:91.4pt;height:26.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3CC926C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BE0C8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E843B" w14:textId="77777777" w:rsidR="00695263" w:rsidRDefault="00695263">
      <w:r>
        <w:separator/>
      </w:r>
    </w:p>
  </w:footnote>
  <w:footnote w:type="continuationSeparator" w:id="0">
    <w:p w14:paraId="3F299422" w14:textId="77777777" w:rsidR="00695263" w:rsidRDefault="006952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00479634">
    <w:abstractNumId w:val="0"/>
  </w:num>
  <w:num w:numId="2" w16cid:durableId="90900573">
    <w:abstractNumId w:val="1"/>
  </w:num>
  <w:num w:numId="3" w16cid:durableId="126433596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74E6E"/>
    <w:rsid w:val="000873B4"/>
    <w:rsid w:val="000A0FE2"/>
    <w:rsid w:val="000B4CAA"/>
    <w:rsid w:val="000C1288"/>
    <w:rsid w:val="000E2911"/>
    <w:rsid w:val="001263DF"/>
    <w:rsid w:val="00141194"/>
    <w:rsid w:val="00154170"/>
    <w:rsid w:val="001E094B"/>
    <w:rsid w:val="0022280D"/>
    <w:rsid w:val="00292ED9"/>
    <w:rsid w:val="002A3C38"/>
    <w:rsid w:val="002B33F4"/>
    <w:rsid w:val="00326F07"/>
    <w:rsid w:val="00351D9B"/>
    <w:rsid w:val="00364912"/>
    <w:rsid w:val="0038020D"/>
    <w:rsid w:val="00380299"/>
    <w:rsid w:val="00380CAB"/>
    <w:rsid w:val="003C65B7"/>
    <w:rsid w:val="003F5E30"/>
    <w:rsid w:val="00404E5B"/>
    <w:rsid w:val="00414F7B"/>
    <w:rsid w:val="004355DC"/>
    <w:rsid w:val="00453411"/>
    <w:rsid w:val="004749B4"/>
    <w:rsid w:val="00475D20"/>
    <w:rsid w:val="00483A8D"/>
    <w:rsid w:val="00494130"/>
    <w:rsid w:val="004F3523"/>
    <w:rsid w:val="00542BD5"/>
    <w:rsid w:val="005734E3"/>
    <w:rsid w:val="0058111A"/>
    <w:rsid w:val="00590D60"/>
    <w:rsid w:val="005973B9"/>
    <w:rsid w:val="005A53D3"/>
    <w:rsid w:val="005B3A56"/>
    <w:rsid w:val="006060CE"/>
    <w:rsid w:val="0061505C"/>
    <w:rsid w:val="0063497F"/>
    <w:rsid w:val="00695263"/>
    <w:rsid w:val="006B1D7B"/>
    <w:rsid w:val="006E5632"/>
    <w:rsid w:val="00714354"/>
    <w:rsid w:val="00717CC5"/>
    <w:rsid w:val="00736BFE"/>
    <w:rsid w:val="0083398B"/>
    <w:rsid w:val="00873DF0"/>
    <w:rsid w:val="008756E6"/>
    <w:rsid w:val="008802A9"/>
    <w:rsid w:val="00897EC5"/>
    <w:rsid w:val="008A0763"/>
    <w:rsid w:val="008E5477"/>
    <w:rsid w:val="0092482D"/>
    <w:rsid w:val="00972F60"/>
    <w:rsid w:val="009B2D44"/>
    <w:rsid w:val="009C0A34"/>
    <w:rsid w:val="00A07E82"/>
    <w:rsid w:val="00A52075"/>
    <w:rsid w:val="00A835FD"/>
    <w:rsid w:val="00A9710C"/>
    <w:rsid w:val="00AE3E37"/>
    <w:rsid w:val="00B21A57"/>
    <w:rsid w:val="00B33883"/>
    <w:rsid w:val="00B338E0"/>
    <w:rsid w:val="00BB312A"/>
    <w:rsid w:val="00BE6743"/>
    <w:rsid w:val="00C1250F"/>
    <w:rsid w:val="00C135AC"/>
    <w:rsid w:val="00C33602"/>
    <w:rsid w:val="00C44A1A"/>
    <w:rsid w:val="00C56C74"/>
    <w:rsid w:val="00C70ECF"/>
    <w:rsid w:val="00C913AF"/>
    <w:rsid w:val="00C95CB5"/>
    <w:rsid w:val="00CA7287"/>
    <w:rsid w:val="00CD6F55"/>
    <w:rsid w:val="00D7586B"/>
    <w:rsid w:val="00DB150C"/>
    <w:rsid w:val="00DE3104"/>
    <w:rsid w:val="00DE6170"/>
    <w:rsid w:val="00E30AAC"/>
    <w:rsid w:val="00E32A22"/>
    <w:rsid w:val="00E4450F"/>
    <w:rsid w:val="00E507D3"/>
    <w:rsid w:val="00E643C5"/>
    <w:rsid w:val="00E95D97"/>
    <w:rsid w:val="00EA7D51"/>
    <w:rsid w:val="00EB0918"/>
    <w:rsid w:val="00EB201B"/>
    <w:rsid w:val="00F046EA"/>
    <w:rsid w:val="00F176D1"/>
    <w:rsid w:val="00F312EA"/>
    <w:rsid w:val="00F325C3"/>
    <w:rsid w:val="00F35A62"/>
    <w:rsid w:val="00F72EEA"/>
    <w:rsid w:val="00F84CAE"/>
    <w:rsid w:val="00FA41DE"/>
    <w:rsid w:val="00FD7C7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20292"/>
  <w15:docId w15:val="{5D4BA42B-36AE-4785-90FF-D8A2AAF9F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vanity-namedomain">
    <w:name w:val="vanity-name__domain"/>
    <w:basedOn w:val="DefaultParagraphFont"/>
    <w:rsid w:val="0058111A"/>
  </w:style>
  <w:style w:type="character" w:customStyle="1" w:styleId="break-words">
    <w:name w:val="break-words"/>
    <w:basedOn w:val="DefaultParagraphFont"/>
    <w:rsid w:val="00581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1742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1630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 Kheirandish</cp:lastModifiedBy>
  <cp:revision>3</cp:revision>
  <dcterms:created xsi:type="dcterms:W3CDTF">2022-09-26T11:38:00Z</dcterms:created>
  <dcterms:modified xsi:type="dcterms:W3CDTF">2022-09-26T13:02:00Z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