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8DE829" w14:textId="370B5D4B" w:rsidR="00AE3E37" w:rsidRDefault="00E643A7" w:rsidP="00494130">
      <w:pPr>
        <w:pStyle w:val="Heading1"/>
        <w:spacing w:before="170"/>
        <w:ind w:left="0"/>
      </w:pPr>
      <w:r>
        <w:rPr>
          <w:color w:val="337AB7"/>
        </w:rPr>
        <w:t>Efficacy an</w:t>
      </w:r>
      <w:r w:rsidR="003E1958">
        <w:rPr>
          <w:color w:val="337AB7"/>
        </w:rPr>
        <w:t xml:space="preserve">d safety of </w:t>
      </w:r>
      <w:r w:rsidR="000C4983" w:rsidRPr="000C4983">
        <w:rPr>
          <w:color w:val="337AB7"/>
        </w:rPr>
        <w:t xml:space="preserve">sucroferric oxyhydroxide </w:t>
      </w:r>
      <w:r w:rsidR="000C4983">
        <w:rPr>
          <w:color w:val="337AB7"/>
        </w:rPr>
        <w:t>vs</w:t>
      </w:r>
      <w:r w:rsidR="000C4983" w:rsidRPr="000C4983">
        <w:rPr>
          <w:color w:val="337AB7"/>
        </w:rPr>
        <w:t xml:space="preserve"> sevelamer carbonate in Chinese dialysis patients with hyperphosphataemia</w:t>
      </w:r>
    </w:p>
    <w:p w14:paraId="41FCADD7" w14:textId="77777777" w:rsidR="00A804AC" w:rsidRDefault="00A804AC">
      <w:pPr>
        <w:pStyle w:val="BodyText"/>
        <w:rPr>
          <w:rFonts w:ascii="Arial"/>
        </w:rPr>
      </w:pPr>
    </w:p>
    <w:p w14:paraId="12B2DDEA" w14:textId="22A9850D" w:rsidR="00C66D1F" w:rsidRDefault="00C66D1F">
      <w:pPr>
        <w:pStyle w:val="BodyText"/>
        <w:rPr>
          <w:rFonts w:ascii="Arial"/>
        </w:rPr>
      </w:pPr>
      <w:r w:rsidRPr="00C66D1F">
        <w:rPr>
          <w:rFonts w:ascii="Arial"/>
        </w:rPr>
        <w:t xml:space="preserve">Jun Liu, </w:t>
      </w:r>
      <w:r w:rsidR="00A17FE9" w:rsidRPr="00925274">
        <w:rPr>
          <w:rFonts w:ascii="Arial" w:eastAsia="Times New Roman" w:hAnsi="Arial" w:cs="Arial"/>
          <w:szCs w:val="24"/>
          <w:lang w:val="en-GB" w:eastAsia="en-GB"/>
        </w:rPr>
        <w:t>Nan</w:t>
      </w:r>
      <w:r w:rsidR="005D3413">
        <w:rPr>
          <w:rFonts w:ascii="Arial" w:eastAsia="Times New Roman" w:hAnsi="Arial" w:cs="Arial"/>
          <w:szCs w:val="24"/>
          <w:lang w:val="en-GB" w:eastAsia="en-GB"/>
        </w:rPr>
        <w:t>f</w:t>
      </w:r>
      <w:r w:rsidR="00A17FE9" w:rsidRPr="00925274">
        <w:rPr>
          <w:rFonts w:ascii="Arial" w:eastAsia="Times New Roman" w:hAnsi="Arial" w:cs="Arial"/>
          <w:szCs w:val="24"/>
          <w:lang w:val="en-GB" w:eastAsia="en-GB"/>
        </w:rPr>
        <w:t>ang Hospital of Southern Medical University, Guangzhou City, Guangdong Province, China</w:t>
      </w:r>
    </w:p>
    <w:p w14:paraId="344C1BA3" w14:textId="041E2D51" w:rsidR="00C66D1F" w:rsidRDefault="00C66D1F">
      <w:pPr>
        <w:pStyle w:val="BodyText"/>
        <w:rPr>
          <w:rFonts w:ascii="Arial"/>
        </w:rPr>
      </w:pPr>
      <w:r w:rsidRPr="00C66D1F">
        <w:rPr>
          <w:rFonts w:ascii="Arial"/>
        </w:rPr>
        <w:t xml:space="preserve">Li Zuo, </w:t>
      </w:r>
      <w:r w:rsidR="00EA58FC" w:rsidRPr="00925274">
        <w:rPr>
          <w:rFonts w:ascii="Arial" w:eastAsia="Times New Roman" w:hAnsi="Arial" w:cs="Arial"/>
          <w:szCs w:val="24"/>
          <w:lang w:val="en-GB" w:eastAsia="en-GB"/>
        </w:rPr>
        <w:t>Peking University People’s Hospital, Beijing, China</w:t>
      </w:r>
    </w:p>
    <w:p w14:paraId="00053D36" w14:textId="7D06221D" w:rsidR="00AE3E37" w:rsidRDefault="00C66D1F" w:rsidP="00C66D1F">
      <w:pPr>
        <w:pStyle w:val="BodyText"/>
        <w:rPr>
          <w:rFonts w:ascii="Arial" w:eastAsia="Times New Roman" w:hAnsi="Arial" w:cs="Arial"/>
          <w:szCs w:val="24"/>
          <w:lang w:val="en-GB" w:eastAsia="en-GB"/>
        </w:rPr>
      </w:pPr>
      <w:r w:rsidRPr="00C66D1F">
        <w:rPr>
          <w:rFonts w:ascii="Arial"/>
        </w:rPr>
        <w:t>Sebastian Walpen,</w:t>
      </w:r>
      <w:r w:rsidR="00EA58FC">
        <w:rPr>
          <w:rFonts w:ascii="Arial"/>
        </w:rPr>
        <w:t xml:space="preserve"> </w:t>
      </w:r>
      <w:r w:rsidRPr="00C66D1F">
        <w:rPr>
          <w:rFonts w:ascii="Arial"/>
        </w:rPr>
        <w:t xml:space="preserve">Laurence Bernard, </w:t>
      </w:r>
      <w:r w:rsidR="00B62229">
        <w:rPr>
          <w:rFonts w:ascii="Arial"/>
        </w:rPr>
        <w:t xml:space="preserve">Matthieu Marty, </w:t>
      </w:r>
      <w:r w:rsidR="00EA58FC">
        <w:rPr>
          <w:rFonts w:ascii="Arial"/>
        </w:rPr>
        <w:t xml:space="preserve">and </w:t>
      </w:r>
      <w:r w:rsidRPr="00C66D1F">
        <w:rPr>
          <w:rFonts w:ascii="Arial"/>
        </w:rPr>
        <w:t>Milica Enoiu</w:t>
      </w:r>
      <w:r>
        <w:rPr>
          <w:rFonts w:ascii="Arial"/>
        </w:rPr>
        <w:t>,</w:t>
      </w:r>
      <w:r w:rsidR="0019598A" w:rsidRPr="0019598A">
        <w:rPr>
          <w:rFonts w:ascii="Arial" w:eastAsia="Times New Roman" w:hAnsi="Arial" w:cs="Arial"/>
          <w:szCs w:val="24"/>
          <w:vertAlign w:val="superscript"/>
          <w:lang w:val="en-GB" w:eastAsia="en-GB"/>
        </w:rPr>
        <w:t xml:space="preserve"> </w:t>
      </w:r>
      <w:bookmarkStart w:id="0" w:name="OLE_LINK1"/>
      <w:r w:rsidR="00152D12">
        <w:rPr>
          <w:rFonts w:ascii="Arial" w:eastAsia="Times New Roman" w:hAnsi="Arial" w:cs="Arial"/>
          <w:szCs w:val="24"/>
          <w:lang w:val="en-GB" w:eastAsia="en-GB"/>
        </w:rPr>
        <w:t xml:space="preserve">CSL </w:t>
      </w:r>
      <w:r w:rsidR="0019598A" w:rsidRPr="00925274">
        <w:rPr>
          <w:rFonts w:ascii="Arial" w:eastAsia="Times New Roman" w:hAnsi="Arial" w:cs="Arial"/>
          <w:szCs w:val="24"/>
          <w:lang w:val="en-GB" w:eastAsia="en-GB"/>
        </w:rPr>
        <w:t>Vifor, Glattbrugg, Switzerland</w:t>
      </w:r>
      <w:bookmarkEnd w:id="0"/>
    </w:p>
    <w:p w14:paraId="6E44BE9D" w14:textId="77777777" w:rsidR="00B850AA" w:rsidRDefault="00B850AA" w:rsidP="00C66D1F">
      <w:pPr>
        <w:pStyle w:val="BodyText"/>
        <w:rPr>
          <w:rFonts w:ascii="Arial" w:eastAsia="Times New Roman" w:hAnsi="Arial" w:cs="Arial"/>
          <w:szCs w:val="24"/>
          <w:lang w:val="en-GB" w:eastAsia="en-GB"/>
        </w:rPr>
      </w:pPr>
    </w:p>
    <w:p w14:paraId="7D8DE82C" w14:textId="6409FD3B" w:rsidR="00B850AA" w:rsidRPr="009E5F81" w:rsidRDefault="00B850AA" w:rsidP="009E5F81">
      <w:pPr>
        <w:pStyle w:val="Heading3"/>
        <w:sectPr w:rsidR="00B850AA" w:rsidRPr="009E5F81" w:rsidSect="008E5477">
          <w:footerReference w:type="default" r:id="rId11"/>
          <w:type w:val="continuous"/>
          <w:pgSz w:w="11910" w:h="16840"/>
          <w:pgMar w:top="995" w:right="600" w:bottom="840" w:left="620" w:header="0" w:footer="0" w:gutter="0"/>
          <w:cols w:space="720"/>
          <w:docGrid w:linePitch="299"/>
        </w:sectPr>
      </w:pPr>
    </w:p>
    <w:p w14:paraId="7D8DE82D" w14:textId="2CDB39BB" w:rsidR="00AE3E37" w:rsidRDefault="00A9710C">
      <w:pPr>
        <w:pStyle w:val="Heading3"/>
        <w:spacing w:before="147"/>
        <w:jc w:val="both"/>
      </w:pPr>
      <w:r>
        <w:rPr>
          <w:color w:val="BF5A14"/>
        </w:rPr>
        <w:lastRenderedPageBreak/>
        <w:t>Abstract</w:t>
      </w:r>
      <w:r w:rsidR="00404E5B">
        <w:rPr>
          <w:color w:val="BF5A14"/>
        </w:rPr>
        <w:t xml:space="preserve"> </w:t>
      </w:r>
    </w:p>
    <w:p w14:paraId="1A5D0A33" w14:textId="3461B31D" w:rsidR="003F587B" w:rsidRPr="003F587B" w:rsidRDefault="00D57DFF" w:rsidP="003F587B">
      <w:pPr>
        <w:pStyle w:val="Heading3"/>
        <w:spacing w:before="74"/>
        <w:rPr>
          <w:rFonts w:ascii="Tw Cen MT" w:eastAsia="Tw Cen MT" w:hAnsi="Tw Cen MT" w:cs="Tw Cen MT"/>
          <w:b w:val="0"/>
          <w:bCs w:val="0"/>
          <w:sz w:val="18"/>
          <w:szCs w:val="18"/>
        </w:rPr>
      </w:pPr>
      <w:r w:rsidRPr="00683BB0">
        <w:rPr>
          <w:rFonts w:ascii="Tw Cen MT" w:eastAsia="Tw Cen MT" w:hAnsi="Tw Cen MT" w:cs="Tw Cen MT"/>
          <w:sz w:val="18"/>
          <w:szCs w:val="18"/>
        </w:rPr>
        <w:t>Backgrou</w:t>
      </w:r>
      <w:r w:rsidR="00683BB0" w:rsidRPr="00683BB0">
        <w:rPr>
          <w:rFonts w:ascii="Tw Cen MT" w:eastAsia="Tw Cen MT" w:hAnsi="Tw Cen MT" w:cs="Tw Cen MT"/>
          <w:sz w:val="18"/>
          <w:szCs w:val="18"/>
        </w:rPr>
        <w:t>nd:</w:t>
      </w:r>
      <w:r w:rsidR="00683BB0">
        <w:rPr>
          <w:rFonts w:ascii="Tw Cen MT" w:eastAsia="Tw Cen MT" w:hAnsi="Tw Cen MT" w:cs="Tw Cen MT"/>
          <w:b w:val="0"/>
          <w:bCs w:val="0"/>
          <w:sz w:val="18"/>
          <w:szCs w:val="18"/>
        </w:rPr>
        <w:t xml:space="preserve"> </w:t>
      </w:r>
      <w:r w:rsidR="00F034F2" w:rsidRPr="00F034F2">
        <w:rPr>
          <w:rFonts w:ascii="Tw Cen MT" w:eastAsia="Tw Cen MT" w:hAnsi="Tw Cen MT" w:cs="Tw Cen MT"/>
          <w:b w:val="0"/>
          <w:bCs w:val="0"/>
          <w:sz w:val="18"/>
          <w:szCs w:val="18"/>
        </w:rPr>
        <w:t>Sucroferric oxyhydroxide (SFOH) is a non-calcium-based, oral iron-containing phosphate binder</w:t>
      </w:r>
      <w:r w:rsidR="00861AED">
        <w:rPr>
          <w:rFonts w:ascii="Tw Cen MT" w:eastAsia="Tw Cen MT" w:hAnsi="Tw Cen MT" w:cs="Tw Cen MT"/>
          <w:b w:val="0"/>
          <w:bCs w:val="0"/>
          <w:sz w:val="18"/>
          <w:szCs w:val="18"/>
        </w:rPr>
        <w:t xml:space="preserve"> t</w:t>
      </w:r>
      <w:r w:rsidR="00D47BA6">
        <w:rPr>
          <w:rFonts w:ascii="Tw Cen MT" w:eastAsia="Tw Cen MT" w:hAnsi="Tw Cen MT" w:cs="Tw Cen MT"/>
          <w:b w:val="0"/>
          <w:bCs w:val="0"/>
          <w:sz w:val="18"/>
          <w:szCs w:val="18"/>
        </w:rPr>
        <w:t>hat</w:t>
      </w:r>
      <w:r w:rsidR="00F034F2" w:rsidRPr="00F034F2">
        <w:rPr>
          <w:rFonts w:ascii="Tw Cen MT" w:eastAsia="Tw Cen MT" w:hAnsi="Tw Cen MT" w:cs="Tw Cen MT"/>
          <w:b w:val="0"/>
          <w:bCs w:val="0"/>
          <w:sz w:val="18"/>
          <w:szCs w:val="18"/>
        </w:rPr>
        <w:t xml:space="preserve"> </w:t>
      </w:r>
      <w:r w:rsidR="00E91F41">
        <w:rPr>
          <w:rFonts w:ascii="Tw Cen MT" w:eastAsia="Tw Cen MT" w:hAnsi="Tw Cen MT" w:cs="Tw Cen MT"/>
          <w:b w:val="0"/>
          <w:bCs w:val="0"/>
          <w:sz w:val="18"/>
          <w:szCs w:val="18"/>
        </w:rPr>
        <w:t>h</w:t>
      </w:r>
      <w:r w:rsidR="00831656">
        <w:rPr>
          <w:rFonts w:ascii="Tw Cen MT" w:eastAsia="Tw Cen MT" w:hAnsi="Tw Cen MT" w:cs="Tw Cen MT"/>
          <w:b w:val="0"/>
          <w:bCs w:val="0"/>
          <w:sz w:val="18"/>
          <w:szCs w:val="18"/>
        </w:rPr>
        <w:t>as been demonstrated to</w:t>
      </w:r>
      <w:r w:rsidR="00004D09">
        <w:rPr>
          <w:rFonts w:ascii="Tw Cen MT" w:eastAsia="Tw Cen MT" w:hAnsi="Tw Cen MT" w:cs="Tw Cen MT"/>
          <w:b w:val="0"/>
          <w:bCs w:val="0"/>
          <w:sz w:val="18"/>
          <w:szCs w:val="18"/>
        </w:rPr>
        <w:t xml:space="preserve"> be effica</w:t>
      </w:r>
      <w:r w:rsidR="00244E31">
        <w:rPr>
          <w:rFonts w:ascii="Tw Cen MT" w:eastAsia="Tw Cen MT" w:hAnsi="Tw Cen MT" w:cs="Tw Cen MT"/>
          <w:b w:val="0"/>
          <w:bCs w:val="0"/>
          <w:sz w:val="18"/>
          <w:szCs w:val="18"/>
        </w:rPr>
        <w:t xml:space="preserve">cious and </w:t>
      </w:r>
      <w:r w:rsidR="003007F1">
        <w:rPr>
          <w:rFonts w:ascii="Tw Cen MT" w:eastAsia="Tw Cen MT" w:hAnsi="Tw Cen MT" w:cs="Tw Cen MT"/>
          <w:b w:val="0"/>
          <w:bCs w:val="0"/>
          <w:sz w:val="18"/>
          <w:szCs w:val="18"/>
        </w:rPr>
        <w:t xml:space="preserve">generally </w:t>
      </w:r>
      <w:r w:rsidR="00244E31">
        <w:rPr>
          <w:rFonts w:ascii="Tw Cen MT" w:eastAsia="Tw Cen MT" w:hAnsi="Tw Cen MT" w:cs="Tw Cen MT"/>
          <w:b w:val="0"/>
          <w:bCs w:val="0"/>
          <w:sz w:val="18"/>
          <w:szCs w:val="18"/>
        </w:rPr>
        <w:t xml:space="preserve">well tolerated </w:t>
      </w:r>
      <w:r w:rsidR="009E595D">
        <w:rPr>
          <w:rFonts w:ascii="Tw Cen MT" w:eastAsia="Tw Cen MT" w:hAnsi="Tw Cen MT" w:cs="Tw Cen MT"/>
          <w:b w:val="0"/>
          <w:bCs w:val="0"/>
          <w:sz w:val="18"/>
          <w:szCs w:val="18"/>
        </w:rPr>
        <w:t>for</w:t>
      </w:r>
      <w:r w:rsidR="00244E31">
        <w:rPr>
          <w:rFonts w:ascii="Tw Cen MT" w:eastAsia="Tw Cen MT" w:hAnsi="Tw Cen MT" w:cs="Tw Cen MT"/>
          <w:b w:val="0"/>
          <w:bCs w:val="0"/>
          <w:sz w:val="18"/>
          <w:szCs w:val="18"/>
        </w:rPr>
        <w:t xml:space="preserve"> the</w:t>
      </w:r>
      <w:r w:rsidR="00F034F2" w:rsidRPr="00F034F2">
        <w:rPr>
          <w:rFonts w:ascii="Tw Cen MT" w:eastAsia="Tw Cen MT" w:hAnsi="Tw Cen MT" w:cs="Tw Cen MT"/>
          <w:b w:val="0"/>
          <w:bCs w:val="0"/>
          <w:sz w:val="18"/>
          <w:szCs w:val="18"/>
        </w:rPr>
        <w:t xml:space="preserve"> control of serum phosphorus (sP) in patients with </w:t>
      </w:r>
      <w:r w:rsidR="00A32D74">
        <w:rPr>
          <w:rFonts w:ascii="Tw Cen MT" w:eastAsia="Tw Cen MT" w:hAnsi="Tw Cen MT" w:cs="Tw Cen MT"/>
          <w:b w:val="0"/>
          <w:bCs w:val="0"/>
          <w:sz w:val="18"/>
          <w:szCs w:val="18"/>
        </w:rPr>
        <w:t>c</w:t>
      </w:r>
      <w:r w:rsidR="00155793">
        <w:rPr>
          <w:rFonts w:ascii="Tw Cen MT" w:eastAsia="Tw Cen MT" w:hAnsi="Tw Cen MT" w:cs="Tw Cen MT"/>
          <w:b w:val="0"/>
          <w:bCs w:val="0"/>
          <w:sz w:val="18"/>
          <w:szCs w:val="18"/>
        </w:rPr>
        <w:t xml:space="preserve">hronic kidney disease </w:t>
      </w:r>
      <w:r w:rsidR="00F034F2" w:rsidRPr="00F034F2">
        <w:rPr>
          <w:rFonts w:ascii="Tw Cen MT" w:eastAsia="Tw Cen MT" w:hAnsi="Tw Cen MT" w:cs="Tw Cen MT"/>
          <w:b w:val="0"/>
          <w:bCs w:val="0"/>
          <w:sz w:val="18"/>
          <w:szCs w:val="18"/>
        </w:rPr>
        <w:t>undergoing dialysis</w:t>
      </w:r>
      <w:r w:rsidR="00F034F2">
        <w:rPr>
          <w:rFonts w:ascii="Tw Cen MT" w:eastAsia="Tw Cen MT" w:hAnsi="Tw Cen MT" w:cs="Tw Cen MT"/>
          <w:b w:val="0"/>
          <w:bCs w:val="0"/>
          <w:sz w:val="18"/>
          <w:szCs w:val="18"/>
        </w:rPr>
        <w:t>.</w:t>
      </w:r>
      <w:r w:rsidR="00236B3F" w:rsidRPr="00E05BEF">
        <w:rPr>
          <w:rFonts w:ascii="Tw Cen MT" w:eastAsia="Tw Cen MT" w:hAnsi="Tw Cen MT" w:cs="Tw Cen MT"/>
          <w:b w:val="0"/>
          <w:bCs w:val="0"/>
          <w:sz w:val="18"/>
          <w:szCs w:val="18"/>
          <w:vertAlign w:val="superscript"/>
        </w:rPr>
        <w:t>1–5</w:t>
      </w:r>
      <w:r w:rsidR="00F034F2">
        <w:rPr>
          <w:rFonts w:ascii="Tw Cen MT" w:eastAsia="Tw Cen MT" w:hAnsi="Tw Cen MT" w:cs="Tw Cen MT"/>
          <w:b w:val="0"/>
          <w:bCs w:val="0"/>
          <w:sz w:val="18"/>
          <w:szCs w:val="18"/>
        </w:rPr>
        <w:t xml:space="preserve"> </w:t>
      </w:r>
      <w:r w:rsidR="009239F0" w:rsidRPr="00B4096B">
        <w:rPr>
          <w:rFonts w:ascii="Tw Cen MT" w:eastAsia="Tw Cen MT" w:hAnsi="Tw Cen MT" w:cs="Tw Cen MT"/>
          <w:b w:val="0"/>
          <w:bCs w:val="0"/>
          <w:sz w:val="18"/>
          <w:szCs w:val="18"/>
        </w:rPr>
        <w:t>This</w:t>
      </w:r>
      <w:r w:rsidR="00B4096B" w:rsidRPr="00B4096B">
        <w:rPr>
          <w:rFonts w:ascii="Tw Cen MT" w:eastAsia="Tw Cen MT" w:hAnsi="Tw Cen MT" w:cs="Tw Cen MT"/>
          <w:b w:val="0"/>
          <w:bCs w:val="0"/>
          <w:sz w:val="18"/>
          <w:szCs w:val="18"/>
        </w:rPr>
        <w:t xml:space="preserve"> study aimed to investigate</w:t>
      </w:r>
      <w:r w:rsidR="003F587B" w:rsidRPr="00B4096B">
        <w:rPr>
          <w:rFonts w:ascii="Tw Cen MT" w:eastAsia="Tw Cen MT" w:hAnsi="Tw Cen MT" w:cs="Tw Cen MT"/>
          <w:b w:val="0"/>
          <w:bCs w:val="0"/>
          <w:sz w:val="18"/>
          <w:szCs w:val="18"/>
        </w:rPr>
        <w:t xml:space="preserve"> the</w:t>
      </w:r>
      <w:r w:rsidR="006202C1">
        <w:rPr>
          <w:rFonts w:ascii="Tw Cen MT" w:eastAsia="Tw Cen MT" w:hAnsi="Tw Cen MT" w:cs="Tw Cen MT"/>
          <w:b w:val="0"/>
          <w:bCs w:val="0"/>
          <w:sz w:val="18"/>
          <w:szCs w:val="18"/>
        </w:rPr>
        <w:t xml:space="preserve"> </w:t>
      </w:r>
      <w:r w:rsidR="003F587B" w:rsidRPr="003F587B">
        <w:rPr>
          <w:rFonts w:ascii="Tw Cen MT" w:eastAsia="Tw Cen MT" w:hAnsi="Tw Cen MT" w:cs="Tw Cen MT"/>
          <w:b w:val="0"/>
          <w:bCs w:val="0"/>
          <w:sz w:val="18"/>
          <w:szCs w:val="18"/>
        </w:rPr>
        <w:t>efficacy</w:t>
      </w:r>
      <w:r w:rsidR="006202C1">
        <w:rPr>
          <w:rFonts w:ascii="Tw Cen MT" w:eastAsia="Tw Cen MT" w:hAnsi="Tw Cen MT" w:cs="Tw Cen MT"/>
          <w:b w:val="0"/>
          <w:bCs w:val="0"/>
          <w:sz w:val="18"/>
          <w:szCs w:val="18"/>
        </w:rPr>
        <w:t xml:space="preserve"> and</w:t>
      </w:r>
      <w:r w:rsidR="003F587B" w:rsidRPr="003F587B">
        <w:rPr>
          <w:rFonts w:ascii="Tw Cen MT" w:eastAsia="Tw Cen MT" w:hAnsi="Tw Cen MT" w:cs="Tw Cen MT"/>
          <w:b w:val="0"/>
          <w:bCs w:val="0"/>
          <w:sz w:val="18"/>
          <w:szCs w:val="18"/>
        </w:rPr>
        <w:t xml:space="preserve"> </w:t>
      </w:r>
      <w:r w:rsidR="006202C1" w:rsidRPr="003F587B">
        <w:rPr>
          <w:rFonts w:ascii="Tw Cen MT" w:eastAsia="Tw Cen MT" w:hAnsi="Tw Cen MT" w:cs="Tw Cen MT"/>
          <w:b w:val="0"/>
          <w:bCs w:val="0"/>
          <w:sz w:val="18"/>
          <w:szCs w:val="18"/>
        </w:rPr>
        <w:t xml:space="preserve">safety </w:t>
      </w:r>
      <w:r w:rsidR="003F587B" w:rsidRPr="003F587B">
        <w:rPr>
          <w:rFonts w:ascii="Tw Cen MT" w:eastAsia="Tw Cen MT" w:hAnsi="Tw Cen MT" w:cs="Tw Cen MT"/>
          <w:b w:val="0"/>
          <w:bCs w:val="0"/>
          <w:sz w:val="18"/>
          <w:szCs w:val="18"/>
        </w:rPr>
        <w:t>of SFOH vs sevelamer carbonate in controlling sP in adult Chinese dialysis patients with hyperphosphataemia.</w:t>
      </w:r>
    </w:p>
    <w:p w14:paraId="488FED31" w14:textId="2B107B72" w:rsidR="003F587B" w:rsidRPr="003F587B" w:rsidRDefault="00683BB0" w:rsidP="003F587B">
      <w:pPr>
        <w:pStyle w:val="Heading3"/>
        <w:spacing w:before="74"/>
        <w:rPr>
          <w:rFonts w:ascii="Tw Cen MT" w:eastAsia="Tw Cen MT" w:hAnsi="Tw Cen MT" w:cs="Tw Cen MT"/>
          <w:b w:val="0"/>
          <w:bCs w:val="0"/>
          <w:sz w:val="18"/>
          <w:szCs w:val="18"/>
        </w:rPr>
      </w:pPr>
      <w:r w:rsidRPr="00683BB0">
        <w:rPr>
          <w:rFonts w:ascii="Tw Cen MT" w:eastAsia="Tw Cen MT" w:hAnsi="Tw Cen MT" w:cs="Tw Cen MT"/>
          <w:sz w:val="18"/>
          <w:szCs w:val="18"/>
        </w:rPr>
        <w:t>Methods:</w:t>
      </w:r>
      <w:r>
        <w:rPr>
          <w:rFonts w:ascii="Tw Cen MT" w:eastAsia="Tw Cen MT" w:hAnsi="Tw Cen MT" w:cs="Tw Cen MT"/>
          <w:b w:val="0"/>
          <w:bCs w:val="0"/>
          <w:sz w:val="18"/>
          <w:szCs w:val="18"/>
        </w:rPr>
        <w:t xml:space="preserve"> </w:t>
      </w:r>
      <w:r w:rsidR="00A31993" w:rsidRPr="00A31993">
        <w:rPr>
          <w:rFonts w:ascii="Tw Cen MT" w:eastAsia="Tw Cen MT" w:hAnsi="Tw Cen MT" w:cs="Tw Cen MT"/>
          <w:b w:val="0"/>
          <w:bCs w:val="0"/>
          <w:sz w:val="18"/>
          <w:szCs w:val="18"/>
        </w:rPr>
        <w:t xml:space="preserve">An </w:t>
      </w:r>
      <w:r w:rsidR="00A31993" w:rsidRPr="007B46F8">
        <w:rPr>
          <w:rFonts w:ascii="Tw Cen MT" w:eastAsia="Tw Cen MT" w:hAnsi="Tw Cen MT" w:cs="Tw Cen MT"/>
          <w:b w:val="0"/>
          <w:bCs w:val="0"/>
          <w:sz w:val="18"/>
          <w:szCs w:val="18"/>
        </w:rPr>
        <w:t>o</w:t>
      </w:r>
      <w:r w:rsidR="003F587B" w:rsidRPr="003F587B">
        <w:rPr>
          <w:rFonts w:ascii="Tw Cen MT" w:eastAsia="Tw Cen MT" w:hAnsi="Tw Cen MT" w:cs="Tw Cen MT"/>
          <w:b w:val="0"/>
          <w:bCs w:val="0"/>
          <w:sz w:val="18"/>
          <w:szCs w:val="18"/>
        </w:rPr>
        <w:t>pen-label, randomised (1:1), active-controlled, parallel group, multicentre, phase III study of SFOH and sevelamer at starting doses of 1,500 mg/day and</w:t>
      </w:r>
      <w:r w:rsidR="009239F0">
        <w:rPr>
          <w:rFonts w:ascii="Tw Cen MT" w:eastAsia="Tw Cen MT" w:hAnsi="Tw Cen MT" w:cs="Tw Cen MT"/>
          <w:b w:val="0"/>
          <w:bCs w:val="0"/>
          <w:sz w:val="18"/>
          <w:szCs w:val="18"/>
        </w:rPr>
        <w:t xml:space="preserve"> </w:t>
      </w:r>
      <w:r w:rsidR="003F587B" w:rsidRPr="003F587B">
        <w:rPr>
          <w:rFonts w:ascii="Tw Cen MT" w:eastAsia="Tw Cen MT" w:hAnsi="Tw Cen MT" w:cs="Tw Cen MT"/>
          <w:b w:val="0"/>
          <w:bCs w:val="0"/>
          <w:sz w:val="18"/>
          <w:szCs w:val="18"/>
        </w:rPr>
        <w:t>2.4 g/day, respectively,</w:t>
      </w:r>
      <w:r w:rsidR="00A31993">
        <w:rPr>
          <w:rFonts w:ascii="Tw Cen MT" w:eastAsia="Tw Cen MT" w:hAnsi="Tw Cen MT" w:cs="Tw Cen MT"/>
          <w:b w:val="0"/>
          <w:bCs w:val="0"/>
          <w:sz w:val="18"/>
          <w:szCs w:val="18"/>
        </w:rPr>
        <w:t xml:space="preserve"> was carried out</w:t>
      </w:r>
      <w:r w:rsidR="003F587B" w:rsidRPr="003F587B">
        <w:rPr>
          <w:rFonts w:ascii="Tw Cen MT" w:eastAsia="Tw Cen MT" w:hAnsi="Tw Cen MT" w:cs="Tw Cen MT"/>
          <w:b w:val="0"/>
          <w:bCs w:val="0"/>
          <w:sz w:val="18"/>
          <w:szCs w:val="18"/>
        </w:rPr>
        <w:t xml:space="preserve"> in adult Chinese dialysis patients with hyperphosphataemia </w:t>
      </w:r>
      <w:r w:rsidR="007B46F8">
        <w:rPr>
          <w:rFonts w:ascii="Tw Cen MT" w:eastAsia="Tw Cen MT" w:hAnsi="Tw Cen MT" w:cs="Tw Cen MT"/>
          <w:b w:val="0"/>
          <w:bCs w:val="0"/>
          <w:sz w:val="18"/>
          <w:szCs w:val="18"/>
        </w:rPr>
        <w:br/>
      </w:r>
      <w:r w:rsidR="003F587B" w:rsidRPr="003F587B">
        <w:rPr>
          <w:rFonts w:ascii="Tw Cen MT" w:eastAsia="Tw Cen MT" w:hAnsi="Tw Cen MT" w:cs="Tw Cen MT"/>
          <w:b w:val="0"/>
          <w:bCs w:val="0"/>
          <w:sz w:val="18"/>
          <w:szCs w:val="18"/>
        </w:rPr>
        <w:t>(sP &gt;1.78 mmol/L)</w:t>
      </w:r>
      <w:r w:rsidR="00197587">
        <w:rPr>
          <w:rFonts w:ascii="Tw Cen MT" w:eastAsia="Tw Cen MT" w:hAnsi="Tw Cen MT" w:cs="Tw Cen MT"/>
          <w:b w:val="0"/>
          <w:bCs w:val="0"/>
          <w:sz w:val="18"/>
          <w:szCs w:val="18"/>
        </w:rPr>
        <w:t xml:space="preserve"> (</w:t>
      </w:r>
      <w:r w:rsidR="00197587" w:rsidRPr="00197587">
        <w:rPr>
          <w:rFonts w:ascii="Tw Cen MT" w:eastAsia="Tw Cen MT" w:hAnsi="Tw Cen MT" w:cs="Tw Cen MT"/>
          <w:b w:val="0"/>
          <w:bCs w:val="0"/>
          <w:sz w:val="18"/>
          <w:szCs w:val="18"/>
        </w:rPr>
        <w:t>NCT03644264</w:t>
      </w:r>
      <w:r w:rsidR="00197587">
        <w:rPr>
          <w:rFonts w:ascii="Tw Cen MT" w:eastAsia="Tw Cen MT" w:hAnsi="Tw Cen MT" w:cs="Tw Cen MT"/>
          <w:b w:val="0"/>
          <w:bCs w:val="0"/>
          <w:sz w:val="18"/>
          <w:szCs w:val="18"/>
        </w:rPr>
        <w:t>)</w:t>
      </w:r>
      <w:r w:rsidR="003F587B" w:rsidRPr="003F587B">
        <w:rPr>
          <w:rFonts w:ascii="Tw Cen MT" w:eastAsia="Tw Cen MT" w:hAnsi="Tw Cen MT" w:cs="Tw Cen MT"/>
          <w:b w:val="0"/>
          <w:bCs w:val="0"/>
          <w:sz w:val="18"/>
          <w:szCs w:val="18"/>
        </w:rPr>
        <w:t xml:space="preserve">. </w:t>
      </w:r>
      <w:r w:rsidR="00A31993">
        <w:rPr>
          <w:rFonts w:ascii="Tw Cen MT" w:eastAsia="Tw Cen MT" w:hAnsi="Tw Cen MT" w:cs="Tw Cen MT"/>
          <w:b w:val="0"/>
          <w:bCs w:val="0"/>
          <w:sz w:val="18"/>
          <w:szCs w:val="18"/>
        </w:rPr>
        <w:t>The p</w:t>
      </w:r>
      <w:r w:rsidR="003F587B" w:rsidRPr="003F587B">
        <w:rPr>
          <w:rFonts w:ascii="Tw Cen MT" w:eastAsia="Tw Cen MT" w:hAnsi="Tw Cen MT" w:cs="Tw Cen MT"/>
          <w:b w:val="0"/>
          <w:bCs w:val="0"/>
          <w:sz w:val="18"/>
          <w:szCs w:val="18"/>
        </w:rPr>
        <w:t xml:space="preserve">rimary efficacy endpoint was a non-inferiority analysis of change from baseline in sP at </w:t>
      </w:r>
      <w:r w:rsidR="0027468A">
        <w:rPr>
          <w:rFonts w:ascii="Tw Cen MT" w:eastAsia="Tw Cen MT" w:hAnsi="Tw Cen MT" w:cs="Tw Cen MT"/>
          <w:b w:val="0"/>
          <w:bCs w:val="0"/>
          <w:sz w:val="18"/>
          <w:szCs w:val="18"/>
        </w:rPr>
        <w:br/>
      </w:r>
      <w:r w:rsidR="003F587B" w:rsidRPr="003F587B">
        <w:rPr>
          <w:rFonts w:ascii="Tw Cen MT" w:eastAsia="Tw Cen MT" w:hAnsi="Tw Cen MT" w:cs="Tw Cen MT"/>
          <w:b w:val="0"/>
          <w:bCs w:val="0"/>
          <w:sz w:val="18"/>
          <w:szCs w:val="18"/>
        </w:rPr>
        <w:t xml:space="preserve">Week 12 </w:t>
      </w:r>
      <w:r w:rsidR="00C5575C">
        <w:rPr>
          <w:rFonts w:ascii="Tw Cen MT" w:eastAsia="Tw Cen MT" w:hAnsi="Tw Cen MT" w:cs="Tw Cen MT"/>
          <w:b w:val="0"/>
          <w:bCs w:val="0"/>
          <w:sz w:val="18"/>
          <w:szCs w:val="18"/>
        </w:rPr>
        <w:t>(</w:t>
      </w:r>
      <w:r w:rsidR="00C5575C" w:rsidRPr="00DA45B9">
        <w:rPr>
          <w:rFonts w:ascii="Tw Cen MT" w:eastAsia="Tw Cen MT" w:hAnsi="Tw Cen MT" w:cs="Tw Cen MT"/>
          <w:b w:val="0"/>
          <w:bCs w:val="0"/>
          <w:sz w:val="18"/>
          <w:szCs w:val="18"/>
        </w:rPr>
        <w:t>last observation carried forward</w:t>
      </w:r>
      <w:r w:rsidR="00384C1E">
        <w:rPr>
          <w:rFonts w:ascii="Tw Cen MT" w:eastAsia="Tw Cen MT" w:hAnsi="Tw Cen MT" w:cs="Tw Cen MT"/>
          <w:b w:val="0"/>
          <w:bCs w:val="0"/>
          <w:sz w:val="18"/>
          <w:szCs w:val="18"/>
        </w:rPr>
        <w:t xml:space="preserve"> [LOCF]</w:t>
      </w:r>
      <w:r w:rsidR="00C5575C">
        <w:rPr>
          <w:rFonts w:ascii="Tw Cen MT" w:eastAsia="Tw Cen MT" w:hAnsi="Tw Cen MT" w:cs="Tw Cen MT"/>
          <w:b w:val="0"/>
          <w:bCs w:val="0"/>
          <w:sz w:val="18"/>
          <w:szCs w:val="18"/>
        </w:rPr>
        <w:t xml:space="preserve">) </w:t>
      </w:r>
      <w:r w:rsidR="003F587B" w:rsidRPr="003F587B">
        <w:rPr>
          <w:rFonts w:ascii="Tw Cen MT" w:eastAsia="Tw Cen MT" w:hAnsi="Tw Cen MT" w:cs="Tw Cen MT"/>
          <w:b w:val="0"/>
          <w:bCs w:val="0"/>
          <w:sz w:val="18"/>
          <w:szCs w:val="18"/>
        </w:rPr>
        <w:t xml:space="preserve">with SFOH vs sevelamer. </w:t>
      </w:r>
    </w:p>
    <w:p w14:paraId="6B973820" w14:textId="09682EF1" w:rsidR="003F587B" w:rsidRPr="003F587B" w:rsidRDefault="00683BB0" w:rsidP="003F587B">
      <w:pPr>
        <w:pStyle w:val="Heading3"/>
        <w:spacing w:before="74"/>
        <w:rPr>
          <w:rFonts w:ascii="Tw Cen MT" w:eastAsia="Tw Cen MT" w:hAnsi="Tw Cen MT" w:cs="Tw Cen MT"/>
          <w:b w:val="0"/>
          <w:bCs w:val="0"/>
          <w:sz w:val="18"/>
          <w:szCs w:val="18"/>
        </w:rPr>
      </w:pPr>
      <w:r w:rsidRPr="00683BB0">
        <w:rPr>
          <w:rFonts w:ascii="Tw Cen MT" w:eastAsia="Tw Cen MT" w:hAnsi="Tw Cen MT" w:cs="Tw Cen MT"/>
          <w:sz w:val="18"/>
          <w:szCs w:val="18"/>
        </w:rPr>
        <w:t>Results:</w:t>
      </w:r>
      <w:r w:rsidR="003F587B" w:rsidRPr="003F587B">
        <w:rPr>
          <w:rFonts w:ascii="Tw Cen MT" w:eastAsia="Tw Cen MT" w:hAnsi="Tw Cen MT" w:cs="Tw Cen MT"/>
          <w:b w:val="0"/>
          <w:bCs w:val="0"/>
          <w:sz w:val="18"/>
          <w:szCs w:val="18"/>
        </w:rPr>
        <w:t xml:space="preserve"> 415 patients screened, 286 enrolled and randomised (142 to SFOH and 144 to sevelamer). Mean (standard deviation [SD]) baseline sP was 2.38 (0.57) and 2.38 (0.52) mmol/L, respectively. Mean (SD) change from baseline in sP at Week 12</w:t>
      </w:r>
      <w:r w:rsidR="00384C1E">
        <w:rPr>
          <w:rFonts w:ascii="Tw Cen MT" w:eastAsia="Tw Cen MT" w:hAnsi="Tw Cen MT" w:cs="Tw Cen MT"/>
          <w:b w:val="0"/>
          <w:bCs w:val="0"/>
          <w:sz w:val="18"/>
          <w:szCs w:val="18"/>
        </w:rPr>
        <w:t xml:space="preserve"> (LOCF)</w:t>
      </w:r>
      <w:r w:rsidR="00DE3B18">
        <w:rPr>
          <w:rFonts w:ascii="Tw Cen MT" w:eastAsia="Tw Cen MT" w:hAnsi="Tw Cen MT" w:cs="Tw Cen MT"/>
          <w:b w:val="0"/>
          <w:bCs w:val="0"/>
          <w:sz w:val="18"/>
          <w:szCs w:val="18"/>
        </w:rPr>
        <w:t xml:space="preserve"> </w:t>
      </w:r>
      <w:r w:rsidR="003F587B" w:rsidRPr="003F587B">
        <w:rPr>
          <w:rFonts w:ascii="Tw Cen MT" w:eastAsia="Tw Cen MT" w:hAnsi="Tw Cen MT" w:cs="Tw Cen MT"/>
          <w:b w:val="0"/>
          <w:bCs w:val="0"/>
          <w:sz w:val="18"/>
          <w:szCs w:val="18"/>
        </w:rPr>
        <w:t>was</w:t>
      </w:r>
      <w:r w:rsidR="00C87E33">
        <w:rPr>
          <w:rFonts w:ascii="Tw Cen MT" w:eastAsia="Tw Cen MT" w:hAnsi="Tw Cen MT" w:cs="Tw Cen MT"/>
          <w:b w:val="0"/>
          <w:bCs w:val="0"/>
          <w:sz w:val="18"/>
          <w:szCs w:val="18"/>
        </w:rPr>
        <w:t xml:space="preserve"> </w:t>
      </w:r>
      <w:r w:rsidR="003F587B" w:rsidRPr="003F587B">
        <w:rPr>
          <w:rFonts w:ascii="Tw Cen MT" w:eastAsia="Tw Cen MT" w:hAnsi="Tw Cen MT" w:cs="Tw Cen MT"/>
          <w:b w:val="0"/>
          <w:bCs w:val="0"/>
          <w:sz w:val="18"/>
          <w:szCs w:val="18"/>
        </w:rPr>
        <w:t xml:space="preserve">–0.71 (0.60) vs </w:t>
      </w:r>
      <w:r w:rsidR="003E60CD">
        <w:rPr>
          <w:rFonts w:ascii="Tw Cen MT" w:eastAsia="Tw Cen MT" w:hAnsi="Tw Cen MT" w:cs="Tw Cen MT"/>
          <w:b w:val="0"/>
          <w:bCs w:val="0"/>
          <w:sz w:val="18"/>
          <w:szCs w:val="18"/>
        </w:rPr>
        <w:br/>
      </w:r>
      <w:r w:rsidR="003F587B" w:rsidRPr="003F587B">
        <w:rPr>
          <w:rFonts w:ascii="Tw Cen MT" w:eastAsia="Tw Cen MT" w:hAnsi="Tw Cen MT" w:cs="Tw Cen MT"/>
          <w:b w:val="0"/>
          <w:bCs w:val="0"/>
          <w:sz w:val="18"/>
          <w:szCs w:val="18"/>
        </w:rPr>
        <w:t>–0.63 (0.52) mmol/L, respectively</w:t>
      </w:r>
      <w:r w:rsidR="004B37A9">
        <w:rPr>
          <w:rFonts w:ascii="Tw Cen MT" w:eastAsia="Tw Cen MT" w:hAnsi="Tw Cen MT" w:cs="Tw Cen MT"/>
          <w:b w:val="0"/>
          <w:bCs w:val="0"/>
          <w:sz w:val="18"/>
          <w:szCs w:val="18"/>
        </w:rPr>
        <w:t xml:space="preserve"> (</w:t>
      </w:r>
      <w:r w:rsidR="004B37A9" w:rsidRPr="004B37A9">
        <w:rPr>
          <w:rFonts w:ascii="Tw Cen MT" w:eastAsia="Tw Cen MT" w:hAnsi="Tw Cen MT" w:cs="Tw Cen MT"/>
          <w:sz w:val="18"/>
          <w:szCs w:val="18"/>
        </w:rPr>
        <w:t>Figure</w:t>
      </w:r>
      <w:r w:rsidR="004B37A9">
        <w:rPr>
          <w:rFonts w:ascii="Tw Cen MT" w:eastAsia="Tw Cen MT" w:hAnsi="Tw Cen MT" w:cs="Tw Cen MT"/>
          <w:b w:val="0"/>
          <w:bCs w:val="0"/>
          <w:sz w:val="18"/>
          <w:szCs w:val="18"/>
        </w:rPr>
        <w:t>)</w:t>
      </w:r>
      <w:r w:rsidR="003F587B" w:rsidRPr="003F587B">
        <w:rPr>
          <w:rFonts w:ascii="Tw Cen MT" w:eastAsia="Tw Cen MT" w:hAnsi="Tw Cen MT" w:cs="Tw Cen MT"/>
          <w:b w:val="0"/>
          <w:bCs w:val="0"/>
          <w:sz w:val="18"/>
          <w:szCs w:val="18"/>
        </w:rPr>
        <w:t xml:space="preserve">, and difference (sevelamer minus SFOH) in least squares means (95% confidence interval [CI]) was 0.08 mmol/L (–0.02; 0.18) with the lower limit of the 95% CI above the non-inferiority margin of –0.34 mmol/L. SFOH reduced sP from baseline earlier (mean [SD] change from baseline –0.69 [0.55] vs </w:t>
      </w:r>
      <w:r w:rsidR="003E60CD">
        <w:rPr>
          <w:rFonts w:ascii="Tw Cen MT" w:eastAsia="Tw Cen MT" w:hAnsi="Tw Cen MT" w:cs="Tw Cen MT"/>
          <w:b w:val="0"/>
          <w:bCs w:val="0"/>
          <w:sz w:val="18"/>
          <w:szCs w:val="18"/>
        </w:rPr>
        <w:br/>
      </w:r>
      <w:r w:rsidR="003F587B" w:rsidRPr="003F587B">
        <w:rPr>
          <w:rFonts w:ascii="Tw Cen MT" w:eastAsia="Tw Cen MT" w:hAnsi="Tw Cen MT" w:cs="Tw Cen MT"/>
          <w:b w:val="0"/>
          <w:bCs w:val="0"/>
          <w:sz w:val="18"/>
          <w:szCs w:val="18"/>
        </w:rPr>
        <w:t>–0.37 [0.47] mmol/L at Week 4, respectively) and with a lower pill burden (mean 3.2 vs 6.3 tablets/day over 12 weeks, respectively) than sevelamer. Safety and tolerability of SFOH w</w:t>
      </w:r>
      <w:r w:rsidR="00981F1A">
        <w:rPr>
          <w:rFonts w:ascii="Tw Cen MT" w:eastAsia="Tw Cen MT" w:hAnsi="Tw Cen MT" w:cs="Tw Cen MT"/>
          <w:b w:val="0"/>
          <w:bCs w:val="0"/>
          <w:sz w:val="18"/>
          <w:szCs w:val="18"/>
        </w:rPr>
        <w:t xml:space="preserve">ere </w:t>
      </w:r>
      <w:r w:rsidR="003F587B" w:rsidRPr="003F587B">
        <w:rPr>
          <w:rFonts w:ascii="Tw Cen MT" w:eastAsia="Tw Cen MT" w:hAnsi="Tw Cen MT" w:cs="Tw Cen MT"/>
          <w:b w:val="0"/>
          <w:bCs w:val="0"/>
          <w:sz w:val="18"/>
          <w:szCs w:val="18"/>
        </w:rPr>
        <w:t>generally comparable to sevelamer and no new safety signals were observed for SFOH.</w:t>
      </w:r>
    </w:p>
    <w:p w14:paraId="754BC0E1" w14:textId="1F814BBD" w:rsidR="00B850AA" w:rsidRDefault="00683BB0" w:rsidP="003F587B">
      <w:pPr>
        <w:pStyle w:val="Heading3"/>
        <w:spacing w:before="74"/>
        <w:rPr>
          <w:b w:val="0"/>
        </w:rPr>
      </w:pPr>
      <w:r w:rsidRPr="00683BB0">
        <w:rPr>
          <w:rFonts w:ascii="Tw Cen MT" w:eastAsia="Tw Cen MT" w:hAnsi="Tw Cen MT" w:cs="Tw Cen MT"/>
          <w:sz w:val="18"/>
          <w:szCs w:val="18"/>
        </w:rPr>
        <w:t>Conclusion:</w:t>
      </w:r>
      <w:r w:rsidR="003F587B" w:rsidRPr="003F587B">
        <w:rPr>
          <w:rFonts w:ascii="Tw Cen MT" w:eastAsia="Tw Cen MT" w:hAnsi="Tw Cen MT" w:cs="Tw Cen MT"/>
          <w:b w:val="0"/>
          <w:bCs w:val="0"/>
          <w:sz w:val="18"/>
          <w:szCs w:val="18"/>
        </w:rPr>
        <w:t xml:space="preserve"> SFOH reduced sP from baseline and was non-inferior to sevelamer after 12 weeks of treatment in Chinese patients on dialysis with hyperphosphataemia. SFOH is an appropriate treatment option for these patients.</w:t>
      </w:r>
      <w:r w:rsidR="00A9710C">
        <w:rPr>
          <w:b w:val="0"/>
        </w:rPr>
        <w:br w:type="column"/>
      </w:r>
    </w:p>
    <w:p w14:paraId="7D8DE82F" w14:textId="21C548FC" w:rsidR="00AE3E37" w:rsidRDefault="003C2AD6" w:rsidP="003F587B">
      <w:pPr>
        <w:pStyle w:val="Heading3"/>
        <w:spacing w:before="74"/>
      </w:pPr>
      <w:r>
        <w:rPr>
          <w:color w:val="BF5A14"/>
        </w:rPr>
        <w:t>Figure</w:t>
      </w:r>
    </w:p>
    <w:p w14:paraId="3DD6B7C3" w14:textId="46101531" w:rsidR="00132F9E" w:rsidRPr="003C24EE" w:rsidRDefault="00942E5C">
      <w:pPr>
        <w:pStyle w:val="BodyText"/>
        <w:spacing w:before="2"/>
        <w:rPr>
          <w:bCs/>
          <w:szCs w:val="20"/>
        </w:rPr>
      </w:pPr>
      <w:r>
        <w:rPr>
          <w:rFonts w:ascii="Arial"/>
          <w:bCs/>
          <w:noProof/>
          <w:sz w:val="16"/>
        </w:rPr>
        <w:drawing>
          <wp:inline distT="0" distB="0" distL="0" distR="0" wp14:anchorId="5D3F0C74" wp14:editId="2929E28E">
            <wp:extent cx="3350895" cy="2069806"/>
            <wp:effectExtent l="0" t="0" r="190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6357" cy="2079357"/>
                    </a:xfrm>
                    <a:prstGeom prst="rect">
                      <a:avLst/>
                    </a:prstGeom>
                    <a:noFill/>
                  </pic:spPr>
                </pic:pic>
              </a:graphicData>
            </a:graphic>
          </wp:inline>
        </w:drawing>
      </w:r>
      <w:r w:rsidR="002A49F0" w:rsidRPr="00671BE6">
        <w:rPr>
          <w:b/>
          <w:szCs w:val="20"/>
        </w:rPr>
        <w:t xml:space="preserve">Change </w:t>
      </w:r>
      <w:r w:rsidR="006B0A8F" w:rsidRPr="00671BE6">
        <w:rPr>
          <w:b/>
          <w:szCs w:val="20"/>
        </w:rPr>
        <w:t xml:space="preserve">from baseline </w:t>
      </w:r>
      <w:r w:rsidR="002A49F0" w:rsidRPr="00671BE6">
        <w:rPr>
          <w:b/>
          <w:szCs w:val="20"/>
        </w:rPr>
        <w:t>in serum phosphorus</w:t>
      </w:r>
      <w:r w:rsidR="006B0A8F" w:rsidRPr="00671BE6">
        <w:rPr>
          <w:b/>
          <w:szCs w:val="20"/>
        </w:rPr>
        <w:t xml:space="preserve"> at Week 12</w:t>
      </w:r>
      <w:r w:rsidR="00713064" w:rsidRPr="00671BE6">
        <w:rPr>
          <w:b/>
          <w:szCs w:val="20"/>
        </w:rPr>
        <w:t xml:space="preserve"> </w:t>
      </w:r>
      <w:r w:rsidR="00671BE6">
        <w:rPr>
          <w:b/>
          <w:szCs w:val="20"/>
        </w:rPr>
        <w:br/>
      </w:r>
      <w:r w:rsidR="00713064" w:rsidRPr="00671BE6">
        <w:rPr>
          <w:b/>
          <w:szCs w:val="20"/>
        </w:rPr>
        <w:t>(</w:t>
      </w:r>
      <w:r w:rsidR="008B0CE2" w:rsidRPr="00671BE6">
        <w:rPr>
          <w:b/>
          <w:szCs w:val="20"/>
        </w:rPr>
        <w:t>la</w:t>
      </w:r>
      <w:r w:rsidR="00DA45B9" w:rsidRPr="00671BE6">
        <w:rPr>
          <w:b/>
          <w:szCs w:val="20"/>
        </w:rPr>
        <w:t>st observation carried forward</w:t>
      </w:r>
      <w:r w:rsidR="00713064" w:rsidRPr="00671BE6">
        <w:rPr>
          <w:b/>
          <w:szCs w:val="20"/>
        </w:rPr>
        <w:t>)</w:t>
      </w:r>
      <w:r w:rsidR="00B850AA" w:rsidRPr="00671BE6">
        <w:rPr>
          <w:b/>
          <w:szCs w:val="20"/>
        </w:rPr>
        <w:t>.</w:t>
      </w:r>
      <w:r w:rsidR="002A49F0" w:rsidRPr="003C24EE">
        <w:rPr>
          <w:bCs/>
          <w:szCs w:val="20"/>
        </w:rPr>
        <w:t xml:space="preserve"> </w:t>
      </w:r>
    </w:p>
    <w:p w14:paraId="7D8DE830" w14:textId="17B26A85" w:rsidR="00AE3E37" w:rsidRPr="003C24EE" w:rsidRDefault="00E96697">
      <w:pPr>
        <w:pStyle w:val="BodyText"/>
        <w:spacing w:before="2"/>
        <w:rPr>
          <w:bCs/>
          <w:szCs w:val="20"/>
        </w:rPr>
      </w:pPr>
      <w:r w:rsidRPr="003C24EE">
        <w:rPr>
          <w:bCs/>
          <w:szCs w:val="20"/>
        </w:rPr>
        <w:t xml:space="preserve">The box is defined </w:t>
      </w:r>
      <w:r w:rsidR="00321496" w:rsidRPr="003C24EE">
        <w:rPr>
          <w:bCs/>
          <w:szCs w:val="20"/>
        </w:rPr>
        <w:t xml:space="preserve">by </w:t>
      </w:r>
      <w:r w:rsidRPr="003C24EE">
        <w:rPr>
          <w:bCs/>
          <w:szCs w:val="20"/>
        </w:rPr>
        <w:t>Q1 (lower</w:t>
      </w:r>
      <w:r w:rsidR="00321496" w:rsidRPr="003C24EE">
        <w:rPr>
          <w:bCs/>
          <w:szCs w:val="20"/>
        </w:rPr>
        <w:t xml:space="preserve"> lin</w:t>
      </w:r>
      <w:r w:rsidR="000B7369" w:rsidRPr="003C24EE">
        <w:rPr>
          <w:bCs/>
          <w:szCs w:val="20"/>
        </w:rPr>
        <w:t>e</w:t>
      </w:r>
      <w:r w:rsidRPr="003C24EE">
        <w:rPr>
          <w:bCs/>
          <w:szCs w:val="20"/>
        </w:rPr>
        <w:t>) and Q3 (upper</w:t>
      </w:r>
      <w:r w:rsidR="000B7369" w:rsidRPr="003C24EE">
        <w:rPr>
          <w:bCs/>
          <w:szCs w:val="20"/>
        </w:rPr>
        <w:t xml:space="preserve"> line</w:t>
      </w:r>
      <w:r w:rsidRPr="003C24EE">
        <w:rPr>
          <w:bCs/>
          <w:szCs w:val="20"/>
        </w:rPr>
        <w:t xml:space="preserve">), and the distance between </w:t>
      </w:r>
      <w:r w:rsidR="000E38E4" w:rsidRPr="003C24EE">
        <w:rPr>
          <w:bCs/>
          <w:szCs w:val="20"/>
        </w:rPr>
        <w:t xml:space="preserve">these </w:t>
      </w:r>
      <w:r w:rsidRPr="003C24EE">
        <w:rPr>
          <w:bCs/>
          <w:szCs w:val="20"/>
        </w:rPr>
        <w:t xml:space="preserve">is the interquartile range (IQR). Inside the box, the line represents the median (Q2), </w:t>
      </w:r>
      <w:r w:rsidR="00321496" w:rsidRPr="003C24EE">
        <w:rPr>
          <w:bCs/>
          <w:szCs w:val="20"/>
        </w:rPr>
        <w:t>and</w:t>
      </w:r>
      <w:r w:rsidRPr="003C24EE">
        <w:rPr>
          <w:bCs/>
          <w:szCs w:val="20"/>
        </w:rPr>
        <w:t xml:space="preserve"> the dot represents the mean. </w:t>
      </w:r>
      <w:r w:rsidR="009E3BE9">
        <w:rPr>
          <w:bCs/>
          <w:szCs w:val="20"/>
        </w:rPr>
        <w:br/>
      </w:r>
      <w:r w:rsidRPr="003C24EE">
        <w:rPr>
          <w:bCs/>
          <w:szCs w:val="20"/>
        </w:rPr>
        <w:t>The whisker boundaries represent the minimum and maximum.</w:t>
      </w:r>
    </w:p>
    <w:p w14:paraId="7D8DE831" w14:textId="191A5B28" w:rsidR="005973B9" w:rsidRDefault="005973B9" w:rsidP="005973B9">
      <w:pPr>
        <w:spacing w:line="204" w:lineRule="exact"/>
        <w:rPr>
          <w:rFonts w:ascii="Arial"/>
          <w:b/>
          <w:sz w:val="20"/>
        </w:rPr>
      </w:pPr>
      <w:r>
        <w:rPr>
          <w:rFonts w:ascii="Arial"/>
          <w:b/>
          <w:color w:val="BF5A14"/>
          <w:sz w:val="20"/>
        </w:rPr>
        <w:br/>
        <w:t>Recent Publications</w:t>
      </w:r>
    </w:p>
    <w:p w14:paraId="58A037E7" w14:textId="2B5504C0" w:rsidR="00B850AA" w:rsidRPr="00FD68A1" w:rsidRDefault="00B850AA" w:rsidP="009C1D79">
      <w:pPr>
        <w:pStyle w:val="ListParagraph"/>
        <w:numPr>
          <w:ilvl w:val="0"/>
          <w:numId w:val="4"/>
        </w:numPr>
        <w:tabs>
          <w:tab w:val="left" w:pos="384"/>
        </w:tabs>
        <w:ind w:right="117"/>
        <w:jc w:val="left"/>
        <w:rPr>
          <w:rFonts w:ascii="Tw Cen MT" w:hAnsi="Tw Cen MT"/>
          <w:sz w:val="18"/>
        </w:rPr>
      </w:pPr>
      <w:r w:rsidRPr="00FD68A1">
        <w:rPr>
          <w:rFonts w:ascii="Tw Cen MT" w:hAnsi="Tw Cen MT"/>
          <w:sz w:val="18"/>
        </w:rPr>
        <w:t xml:space="preserve">Wüthrich RP, </w:t>
      </w:r>
      <w:r w:rsidR="001D1E72" w:rsidRPr="00FD68A1">
        <w:rPr>
          <w:rFonts w:ascii="Tw Cen MT" w:hAnsi="Tw Cen MT"/>
          <w:sz w:val="18"/>
        </w:rPr>
        <w:t>et al</w:t>
      </w:r>
      <w:r w:rsidRPr="00FD68A1">
        <w:rPr>
          <w:rFonts w:ascii="Tw Cen MT" w:hAnsi="Tw Cen MT"/>
          <w:sz w:val="18"/>
        </w:rPr>
        <w:t xml:space="preserve">. </w:t>
      </w:r>
      <w:r w:rsidRPr="00FD68A1">
        <w:rPr>
          <w:rFonts w:ascii="Tw Cen MT" w:hAnsi="Tw Cen MT"/>
          <w:i/>
          <w:iCs/>
          <w:sz w:val="18"/>
        </w:rPr>
        <w:t>Clin J Am Soc Nephrol.</w:t>
      </w:r>
      <w:r w:rsidRPr="00FD68A1">
        <w:rPr>
          <w:rFonts w:ascii="Tw Cen MT" w:hAnsi="Tw Cen MT"/>
          <w:sz w:val="18"/>
        </w:rPr>
        <w:t xml:space="preserve"> 2013;8:280</w:t>
      </w:r>
      <w:r w:rsidR="00411253">
        <w:rPr>
          <w:rFonts w:ascii="Tw Cen MT" w:hAnsi="Tw Cen MT"/>
          <w:sz w:val="18"/>
        </w:rPr>
        <w:t>–</w:t>
      </w:r>
      <w:r w:rsidRPr="00FD68A1">
        <w:rPr>
          <w:rFonts w:ascii="Tw Cen MT" w:hAnsi="Tw Cen MT"/>
          <w:sz w:val="18"/>
        </w:rPr>
        <w:t>9.</w:t>
      </w:r>
    </w:p>
    <w:p w14:paraId="71D7B813" w14:textId="4BF85920" w:rsidR="00E05BEF" w:rsidRPr="00FD68A1" w:rsidRDefault="00E05BEF" w:rsidP="009C1D79">
      <w:pPr>
        <w:pStyle w:val="ListParagraph"/>
        <w:numPr>
          <w:ilvl w:val="0"/>
          <w:numId w:val="4"/>
        </w:numPr>
        <w:tabs>
          <w:tab w:val="left" w:pos="384"/>
        </w:tabs>
        <w:ind w:right="117"/>
        <w:jc w:val="left"/>
        <w:rPr>
          <w:rFonts w:ascii="Tw Cen MT" w:hAnsi="Tw Cen MT"/>
          <w:sz w:val="18"/>
        </w:rPr>
      </w:pPr>
      <w:r w:rsidRPr="00FD68A1">
        <w:rPr>
          <w:rFonts w:ascii="Tw Cen MT" w:hAnsi="Tw Cen MT"/>
          <w:sz w:val="18"/>
        </w:rPr>
        <w:t xml:space="preserve">Floege J, et al. </w:t>
      </w:r>
      <w:r w:rsidRPr="00FD68A1">
        <w:rPr>
          <w:rFonts w:ascii="Tw Cen MT" w:hAnsi="Tw Cen MT"/>
          <w:i/>
          <w:iCs/>
          <w:sz w:val="18"/>
        </w:rPr>
        <w:t>Kidney Int.</w:t>
      </w:r>
      <w:r w:rsidRPr="00FD68A1">
        <w:rPr>
          <w:rFonts w:ascii="Tw Cen MT" w:hAnsi="Tw Cen MT"/>
          <w:sz w:val="18"/>
        </w:rPr>
        <w:t xml:space="preserve"> 2014;86:638</w:t>
      </w:r>
      <w:r w:rsidR="00411253">
        <w:rPr>
          <w:rFonts w:ascii="Tw Cen MT" w:hAnsi="Tw Cen MT"/>
          <w:sz w:val="18"/>
        </w:rPr>
        <w:t>–</w:t>
      </w:r>
      <w:r w:rsidRPr="00FD68A1">
        <w:rPr>
          <w:rFonts w:ascii="Tw Cen MT" w:hAnsi="Tw Cen MT"/>
          <w:sz w:val="18"/>
        </w:rPr>
        <w:t>47.</w:t>
      </w:r>
    </w:p>
    <w:p w14:paraId="3078ABE2" w14:textId="333C47E9" w:rsidR="000A150F" w:rsidRPr="00FD68A1" w:rsidRDefault="000A150F" w:rsidP="009C1D79">
      <w:pPr>
        <w:pStyle w:val="ListParagraph"/>
        <w:numPr>
          <w:ilvl w:val="0"/>
          <w:numId w:val="4"/>
        </w:numPr>
        <w:tabs>
          <w:tab w:val="left" w:pos="384"/>
        </w:tabs>
        <w:ind w:right="117"/>
        <w:jc w:val="left"/>
        <w:rPr>
          <w:rFonts w:ascii="Tw Cen MT" w:hAnsi="Tw Cen MT"/>
          <w:sz w:val="18"/>
        </w:rPr>
      </w:pPr>
      <w:r w:rsidRPr="00FD68A1">
        <w:rPr>
          <w:rFonts w:ascii="Tw Cen MT" w:hAnsi="Tw Cen MT"/>
          <w:sz w:val="18"/>
        </w:rPr>
        <w:t xml:space="preserve">Floege J, et al. </w:t>
      </w:r>
      <w:r w:rsidRPr="00FD68A1">
        <w:rPr>
          <w:rFonts w:ascii="Tw Cen MT" w:hAnsi="Tw Cen MT"/>
          <w:i/>
          <w:iCs/>
          <w:sz w:val="18"/>
        </w:rPr>
        <w:t>Nephrol Dial Transplant.</w:t>
      </w:r>
      <w:r w:rsidRPr="00FD68A1">
        <w:rPr>
          <w:rFonts w:ascii="Tw Cen MT" w:hAnsi="Tw Cen MT"/>
          <w:sz w:val="18"/>
        </w:rPr>
        <w:t xml:space="preserve"> 2015;30:1037</w:t>
      </w:r>
      <w:r w:rsidR="00411253">
        <w:rPr>
          <w:rFonts w:ascii="Tw Cen MT" w:hAnsi="Tw Cen MT"/>
          <w:sz w:val="18"/>
        </w:rPr>
        <w:t>–</w:t>
      </w:r>
      <w:r w:rsidRPr="00FD68A1">
        <w:rPr>
          <w:rFonts w:ascii="Tw Cen MT" w:hAnsi="Tw Cen MT"/>
          <w:sz w:val="18"/>
        </w:rPr>
        <w:t>46.</w:t>
      </w:r>
    </w:p>
    <w:p w14:paraId="4F86D5D4" w14:textId="28192DD6" w:rsidR="000F2B43" w:rsidRPr="005E0D81" w:rsidRDefault="00257BC7" w:rsidP="000F2B43">
      <w:pPr>
        <w:pStyle w:val="ListParagraph"/>
        <w:numPr>
          <w:ilvl w:val="0"/>
          <w:numId w:val="4"/>
        </w:numPr>
        <w:tabs>
          <w:tab w:val="left" w:pos="384"/>
        </w:tabs>
        <w:ind w:right="117"/>
        <w:jc w:val="left"/>
        <w:rPr>
          <w:rFonts w:ascii="Tw Cen MT" w:hAnsi="Tw Cen MT"/>
          <w:sz w:val="18"/>
          <w:lang w:val="fr-CH"/>
        </w:rPr>
      </w:pPr>
      <w:r w:rsidRPr="005E0D81">
        <w:rPr>
          <w:rFonts w:ascii="Tw Cen MT" w:hAnsi="Tw Cen MT"/>
          <w:sz w:val="18"/>
          <w:lang w:val="fr-CH"/>
        </w:rPr>
        <w:t xml:space="preserve">Koiwa F, </w:t>
      </w:r>
      <w:r w:rsidR="001D1E72" w:rsidRPr="005E0D81">
        <w:rPr>
          <w:rFonts w:ascii="Tw Cen MT" w:hAnsi="Tw Cen MT"/>
          <w:sz w:val="18"/>
          <w:lang w:val="fr-CH"/>
        </w:rPr>
        <w:t>et al</w:t>
      </w:r>
      <w:r w:rsidRPr="005E0D81">
        <w:rPr>
          <w:rFonts w:ascii="Tw Cen MT" w:hAnsi="Tw Cen MT"/>
          <w:sz w:val="18"/>
          <w:lang w:val="fr-CH"/>
        </w:rPr>
        <w:t xml:space="preserve">. </w:t>
      </w:r>
      <w:r w:rsidRPr="005E0D81">
        <w:rPr>
          <w:rFonts w:ascii="Tw Cen MT" w:hAnsi="Tw Cen MT"/>
          <w:i/>
          <w:sz w:val="18"/>
          <w:lang w:val="fr-CH"/>
        </w:rPr>
        <w:t>Nephrology (Carlton).</w:t>
      </w:r>
      <w:r w:rsidRPr="005E0D81">
        <w:rPr>
          <w:rFonts w:ascii="Tw Cen MT" w:hAnsi="Tw Cen MT"/>
          <w:sz w:val="18"/>
          <w:lang w:val="fr-CH"/>
        </w:rPr>
        <w:t xml:space="preserve"> 2017;22:293</w:t>
      </w:r>
      <w:r w:rsidR="00411253" w:rsidRPr="005E0D81">
        <w:rPr>
          <w:rFonts w:ascii="Tw Cen MT" w:hAnsi="Tw Cen MT"/>
          <w:sz w:val="18"/>
          <w:lang w:val="fr-CH"/>
        </w:rPr>
        <w:t>–</w:t>
      </w:r>
      <w:r w:rsidRPr="005E0D81">
        <w:rPr>
          <w:rFonts w:ascii="Tw Cen MT" w:hAnsi="Tw Cen MT"/>
          <w:sz w:val="18"/>
          <w:lang w:val="fr-CH"/>
        </w:rPr>
        <w:t>300.</w:t>
      </w:r>
    </w:p>
    <w:p w14:paraId="1BA9EC95" w14:textId="3C4355F5" w:rsidR="000A150F" w:rsidRPr="00411253" w:rsidRDefault="00D57DFF" w:rsidP="000F2B43">
      <w:pPr>
        <w:pStyle w:val="ListParagraph"/>
        <w:numPr>
          <w:ilvl w:val="0"/>
          <w:numId w:val="4"/>
        </w:numPr>
        <w:tabs>
          <w:tab w:val="left" w:pos="384"/>
        </w:tabs>
        <w:ind w:right="117"/>
        <w:jc w:val="left"/>
        <w:rPr>
          <w:rFonts w:ascii="Tw Cen MT" w:hAnsi="Tw Cen MT"/>
          <w:sz w:val="18"/>
          <w:lang w:val="fr-FR"/>
        </w:rPr>
      </w:pPr>
      <w:r w:rsidRPr="00411253">
        <w:rPr>
          <w:rFonts w:ascii="Tw Cen MT" w:hAnsi="Tw Cen MT"/>
          <w:sz w:val="18"/>
          <w:lang w:val="fr-FR"/>
        </w:rPr>
        <w:t>Koiwa F,</w:t>
      </w:r>
      <w:r w:rsidR="009C1D79" w:rsidRPr="00411253">
        <w:rPr>
          <w:rFonts w:ascii="Tw Cen MT" w:hAnsi="Tw Cen MT"/>
          <w:sz w:val="18"/>
          <w:lang w:val="fr-FR"/>
        </w:rPr>
        <w:t xml:space="preserve"> et al</w:t>
      </w:r>
      <w:r w:rsidRPr="00411253">
        <w:rPr>
          <w:rFonts w:ascii="Tw Cen MT" w:hAnsi="Tw Cen MT"/>
          <w:sz w:val="18"/>
          <w:lang w:val="fr-FR"/>
        </w:rPr>
        <w:t xml:space="preserve">. </w:t>
      </w:r>
      <w:r w:rsidRPr="00411253">
        <w:rPr>
          <w:rFonts w:ascii="Tw Cen MT" w:hAnsi="Tw Cen MT"/>
          <w:i/>
          <w:iCs/>
          <w:sz w:val="18"/>
          <w:lang w:val="fr-FR"/>
        </w:rPr>
        <w:t>J Ren Nutr.</w:t>
      </w:r>
      <w:r w:rsidRPr="00411253">
        <w:rPr>
          <w:rFonts w:ascii="Tw Cen MT" w:hAnsi="Tw Cen MT"/>
          <w:sz w:val="18"/>
          <w:lang w:val="fr-FR"/>
        </w:rPr>
        <w:t xml:space="preserve"> 2017;27:346</w:t>
      </w:r>
      <w:r w:rsidR="00411253">
        <w:rPr>
          <w:rFonts w:ascii="Tw Cen MT" w:hAnsi="Tw Cen MT"/>
          <w:sz w:val="18"/>
          <w:lang w:val="fr-FR"/>
        </w:rPr>
        <w:t>–</w:t>
      </w:r>
      <w:r w:rsidRPr="00411253">
        <w:rPr>
          <w:rFonts w:ascii="Tw Cen MT" w:hAnsi="Tw Cen MT"/>
          <w:sz w:val="18"/>
          <w:lang w:val="fr-FR"/>
        </w:rPr>
        <w:t>54.</w:t>
      </w:r>
    </w:p>
    <w:p w14:paraId="7D8DE839" w14:textId="39CD8E98" w:rsidR="00AE3E37" w:rsidRPr="00411253" w:rsidRDefault="008756E6">
      <w:pPr>
        <w:spacing w:line="200" w:lineRule="exact"/>
        <w:jc w:val="both"/>
        <w:rPr>
          <w:rFonts w:ascii="Calibri" w:hAnsi="Calibri"/>
          <w:lang w:val="fr-FR"/>
        </w:rPr>
        <w:sectPr w:rsidR="00AE3E37" w:rsidRPr="00411253" w:rsidSect="008E5477">
          <w:type w:val="continuous"/>
          <w:pgSz w:w="11910" w:h="16840"/>
          <w:pgMar w:top="995" w:right="600" w:bottom="840" w:left="620" w:header="720" w:footer="720" w:gutter="0"/>
          <w:cols w:num="2" w:space="720" w:equalWidth="0">
            <w:col w:w="5214" w:space="138"/>
            <w:col w:w="5338"/>
          </w:cols>
        </w:sectPr>
      </w:pPr>
      <w:r w:rsidRPr="00411253">
        <w:rPr>
          <w:rFonts w:ascii="Calibri" w:hAnsi="Calibri"/>
          <w:lang w:val="fr-FR"/>
        </w:rPr>
        <w:t xml:space="preserve">  </w:t>
      </w:r>
    </w:p>
    <w:p w14:paraId="7D8DE83A" w14:textId="77777777" w:rsidR="00AE3E37" w:rsidRPr="00411253" w:rsidRDefault="00AE3E37">
      <w:pPr>
        <w:pStyle w:val="BodyText"/>
        <w:rPr>
          <w:rFonts w:ascii="Calibri"/>
          <w:sz w:val="20"/>
          <w:lang w:val="fr-FR"/>
        </w:rPr>
      </w:pPr>
    </w:p>
    <w:p w14:paraId="7D8DE83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D8DE84D" wp14:editId="7D8DE8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6E33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8DE83C" w14:textId="60C0566B"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7D8DE84F" wp14:editId="52E89A43">
                <wp:simplePos x="0" y="0"/>
                <wp:positionH relativeFrom="column">
                  <wp:posOffset>4149726</wp:posOffset>
                </wp:positionH>
                <wp:positionV relativeFrom="paragraph">
                  <wp:posOffset>58420</wp:posOffset>
                </wp:positionV>
                <wp:extent cx="2517140" cy="570230"/>
                <wp:effectExtent l="0" t="0" r="0" b="12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140" cy="570230"/>
                        </a:xfrm>
                        <a:prstGeom prst="roundRect">
                          <a:avLst>
                            <a:gd name="adj" fmla="val 16667"/>
                          </a:avLst>
                        </a:prstGeom>
                        <a:solidFill>
                          <a:srgbClr val="FFFFFF"/>
                        </a:solidFill>
                        <a:ln w="31750">
                          <a:no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8DE860" w14:textId="2111630D" w:rsidR="00A52075" w:rsidRDefault="009D53DB" w:rsidP="00656D57">
                            <w:pPr>
                              <w:jc w:val="center"/>
                              <w:rPr>
                                <w:b/>
                                <w:color w:val="0000FF"/>
                                <w:lang w:val="en-IN"/>
                              </w:rPr>
                            </w:pPr>
                            <w:r>
                              <w:rPr>
                                <w:noProof/>
                              </w:rPr>
                              <w:drawing>
                                <wp:inline distT="0" distB="0" distL="0" distR="0" wp14:anchorId="74B1FDA9" wp14:editId="1923D44C">
                                  <wp:extent cx="2009775" cy="402643"/>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7631" cy="40822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8DE84F" id="Rounded Rectangle 2" o:spid="_x0000_s1026" style="position:absolute;margin-left:326.75pt;margin-top:4.6pt;width:198.2pt;height:4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" stroked="f" strokeweight="2.5pt">
                <v:shadow color="#868686"/>
                <v:textbox>
                  <w:txbxContent>
                    <w:p w14:paraId="7D8DE860" w14:textId="2111630D" w:rsidR="00A52075" w:rsidRDefault="009D53DB" w:rsidP="00656D57">
                      <w:pPr>
                        <w:jc w:val="center"/>
                        <w:rPr>
                          <w:b/>
                          <w:color w:val="0000FF"/>
                          <w:lang w:val="en-IN"/>
                        </w:rPr>
                      </w:pPr>
                      <w:r>
                        <w:rPr>
                          <w:noProof/>
                        </w:rPr>
                        <w:drawing>
                          <wp:inline distT="0" distB="0" distL="0" distR="0" wp14:anchorId="74B1FDA9" wp14:editId="1923D44C">
                            <wp:extent cx="2009775" cy="402643"/>
                            <wp:effectExtent l="0" t="0" r="0"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37631" cy="408224"/>
                                    </a:xfrm>
                                    <a:prstGeom prst="rect">
                                      <a:avLst/>
                                    </a:prstGeom>
                                    <a:noFill/>
                                    <a:ln>
                                      <a:noFill/>
                                    </a:ln>
                                  </pic:spPr>
                                </pic:pic>
                              </a:graphicData>
                            </a:graphic>
                          </wp:inline>
                        </w:drawing>
                      </w:r>
                    </w:p>
                  </w:txbxContent>
                </v:textbox>
              </v:roundrect>
            </w:pict>
          </mc:Fallback>
        </mc:AlternateContent>
      </w:r>
      <w:r w:rsidR="008756E6">
        <w:rPr>
          <w:noProof/>
        </w:rPr>
        <w:t xml:space="preserve">            </w:t>
      </w:r>
      <w:r w:rsidR="00BD066F">
        <w:rPr>
          <w:noProof/>
        </w:rPr>
        <w:drawing>
          <wp:inline distT="0" distB="0" distL="0" distR="0" wp14:anchorId="1DBC1F3C" wp14:editId="0F6708CC">
            <wp:extent cx="586107" cy="6300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575" t="1948" r="13637" b="45238"/>
                    <a:stretch/>
                  </pic:blipFill>
                  <pic:spPr bwMode="auto">
                    <a:xfrm>
                      <a:off x="0" y="0"/>
                      <a:ext cx="586107" cy="630000"/>
                    </a:xfrm>
                    <a:prstGeom prst="rect">
                      <a:avLst/>
                    </a:prstGeom>
                    <a:noFill/>
                    <a:ln>
                      <a:noFill/>
                    </a:ln>
                    <a:extLst>
                      <a:ext uri="{53640926-AAD7-44D8-BBD7-CCE9431645EC}">
                        <a14:shadowObscured xmlns:a14="http://schemas.microsoft.com/office/drawing/2010/main"/>
                      </a:ext>
                    </a:extLst>
                  </pic:spPr>
                </pic:pic>
              </a:graphicData>
            </a:graphic>
          </wp:inline>
        </w:drawing>
      </w:r>
      <w:r w:rsidR="008756E6">
        <w:rPr>
          <w:noProof/>
        </w:rPr>
        <w:t xml:space="preserve">  </w:t>
      </w:r>
      <w:r w:rsidR="00EC4B77">
        <w:rPr>
          <w:rFonts w:ascii="Arial"/>
          <w:color w:val="BF5A14"/>
        </w:rPr>
        <w:t xml:space="preserve">Professor </w:t>
      </w:r>
      <w:bookmarkStart w:id="1" w:name="_GoBack"/>
      <w:r w:rsidR="00EC4B77" w:rsidRPr="00EC4B77">
        <w:rPr>
          <w:rFonts w:ascii="Arial"/>
          <w:color w:val="BF5A14"/>
        </w:rPr>
        <w:t>Jun Liu</w:t>
      </w:r>
      <w:bookmarkEnd w:id="1"/>
      <w:r w:rsidR="00EC4B77" w:rsidRPr="00EC4B77">
        <w:rPr>
          <w:rFonts w:ascii="Arial"/>
          <w:color w:val="BF5A14"/>
        </w:rPr>
        <w:t>, MD</w:t>
      </w:r>
      <w:r w:rsidRPr="00A52075">
        <w:rPr>
          <w:rFonts w:ascii="Times New Roman" w:hAnsi="Times New Roman" w:cs="Times New Roman"/>
          <w:sz w:val="24"/>
          <w:szCs w:val="24"/>
        </w:rPr>
        <w:t xml:space="preserve"> </w:t>
      </w:r>
    </w:p>
    <w:p w14:paraId="5A4BE614" w14:textId="7505520A" w:rsidR="00D50940" w:rsidRPr="00EE49FA" w:rsidRDefault="00D50940" w:rsidP="00D50940">
      <w:pPr>
        <w:spacing w:before="62"/>
        <w:ind w:right="58"/>
        <w:rPr>
          <w:sz w:val="14"/>
        </w:rPr>
      </w:pPr>
      <w:r w:rsidRPr="00EE49FA">
        <w:rPr>
          <w:sz w:val="14"/>
        </w:rPr>
        <w:t xml:space="preserve">Professor Liu is head of the Blood Purification Center in the Nephrology Department of the National Clinical Research Center for Kidney Disease, at NanFang Hospital. His research interests in kidney disease treatment include conservative management of acute and chronic renal failure, and blood purification therapy. He is member of the Chinese Hospital Association of Blood Purification, </w:t>
      </w:r>
      <w:r w:rsidR="00F958FB">
        <w:rPr>
          <w:sz w:val="14"/>
        </w:rPr>
        <w:t xml:space="preserve">the </w:t>
      </w:r>
      <w:r w:rsidRPr="00EE49FA">
        <w:rPr>
          <w:sz w:val="14"/>
        </w:rPr>
        <w:t xml:space="preserve">Blood Purification Access Academic Group in China, </w:t>
      </w:r>
      <w:r w:rsidR="00C30C89">
        <w:rPr>
          <w:sz w:val="14"/>
        </w:rPr>
        <w:t xml:space="preserve">the </w:t>
      </w:r>
      <w:r w:rsidRPr="00EE49FA">
        <w:rPr>
          <w:sz w:val="14"/>
        </w:rPr>
        <w:t xml:space="preserve">Guangdong Medical Doctor Association in Nephrology and </w:t>
      </w:r>
      <w:r w:rsidR="00C30C89">
        <w:rPr>
          <w:sz w:val="14"/>
        </w:rPr>
        <w:t xml:space="preserve">the </w:t>
      </w:r>
      <w:r w:rsidRPr="00EE49FA">
        <w:rPr>
          <w:sz w:val="14"/>
        </w:rPr>
        <w:t>Blood Purification of Chinese Medical Association. He is Vice Chairman of the Guangdong Provincial Hospital Association of Blood Purification and the Guangdong Blood Purification Therapy Control Center, and is Head of the Blood Purification Access Academic Group in Guangdong. He has supervised seven national</w:t>
      </w:r>
      <w:r w:rsidR="009333CA">
        <w:rPr>
          <w:sz w:val="14"/>
        </w:rPr>
        <w:t>ly</w:t>
      </w:r>
      <w:r w:rsidRPr="00EE49FA">
        <w:rPr>
          <w:sz w:val="14"/>
        </w:rPr>
        <w:t xml:space="preserve"> and provincially funded projects. He came third in the national new drug development award and first in the Guangdong technology progress award. He has authored over 60 articles and contributed to three treatises.</w:t>
      </w:r>
    </w:p>
    <w:p w14:paraId="7D8DE83F" w14:textId="5060C676" w:rsidR="00AE3E37" w:rsidRPr="005E0D81" w:rsidRDefault="00A9710C" w:rsidP="00A60C67">
      <w:pPr>
        <w:spacing w:before="62"/>
        <w:ind w:left="4217" w:right="4235"/>
        <w:jc w:val="center"/>
        <w:rPr>
          <w:sz w:val="19"/>
          <w:lang w:val="en-GB"/>
        </w:rPr>
      </w:pPr>
      <w:r w:rsidRPr="005E0D81">
        <w:rPr>
          <w:sz w:val="14"/>
          <w:lang w:val="en-GB"/>
        </w:rPr>
        <w:t>Email:</w:t>
      </w:r>
      <w:r w:rsidR="00DF63F7" w:rsidRPr="005E0D81">
        <w:rPr>
          <w:lang w:val="en-GB"/>
        </w:rPr>
        <w:t xml:space="preserve"> </w:t>
      </w:r>
      <w:hyperlink r:id="rId18" w:history="1">
        <w:r w:rsidR="00DF63F7" w:rsidRPr="005E0D81">
          <w:rPr>
            <w:rStyle w:val="Hyperlink"/>
            <w:sz w:val="14"/>
            <w:lang w:val="en-GB"/>
          </w:rPr>
          <w:t>liujun62nfyy@163.com</w:t>
        </w:r>
      </w:hyperlink>
      <w:r w:rsidR="00292ED9" w:rsidRPr="00AF2C95">
        <w:rPr>
          <w:noProof/>
        </w:rPr>
        <mc:AlternateContent>
          <mc:Choice Requires="wps">
            <w:drawing>
              <wp:anchor distT="0" distB="0" distL="0" distR="0" simplePos="0" relativeHeight="251658240" behindDoc="0" locked="0" layoutInCell="1" allowOverlap="1" wp14:anchorId="7D8DE853" wp14:editId="7D8DE8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619ABB"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D8DE840" w14:textId="77777777" w:rsidR="00AE3E37" w:rsidRPr="005E0D81" w:rsidRDefault="00AE3E37">
      <w:pPr>
        <w:pStyle w:val="BodyText"/>
        <w:rPr>
          <w:rFonts w:ascii="Arial"/>
          <w:sz w:val="20"/>
          <w:lang w:val="en-GB"/>
        </w:rPr>
      </w:pPr>
    </w:p>
    <w:p w14:paraId="7D8DE841" w14:textId="77777777" w:rsidR="00AE3E37" w:rsidRPr="005E0D81" w:rsidRDefault="00AE3E37">
      <w:pPr>
        <w:pStyle w:val="BodyText"/>
        <w:rPr>
          <w:rFonts w:ascii="Arial"/>
          <w:sz w:val="20"/>
          <w:lang w:val="en-GB"/>
        </w:rPr>
      </w:pPr>
    </w:p>
    <w:p w14:paraId="7D8DE842" w14:textId="77777777" w:rsidR="00AE3E37" w:rsidRPr="005E0D81" w:rsidRDefault="00AE3E37">
      <w:pPr>
        <w:pStyle w:val="BodyText"/>
        <w:spacing w:before="7"/>
        <w:rPr>
          <w:rFonts w:ascii="Arial"/>
          <w:sz w:val="29"/>
          <w:lang w:val="en-GB"/>
        </w:rPr>
      </w:pPr>
    </w:p>
    <w:p w14:paraId="7D8DE843" w14:textId="77777777" w:rsidR="00AE3E37" w:rsidRPr="005E0D81" w:rsidRDefault="00A9710C">
      <w:pPr>
        <w:spacing w:before="39"/>
        <w:ind w:left="100"/>
        <w:rPr>
          <w:rFonts w:ascii="Minion Pro"/>
          <w:b/>
          <w:sz w:val="20"/>
          <w:lang w:val="en-GB"/>
        </w:rPr>
      </w:pPr>
      <w:r w:rsidRPr="005E0D81">
        <w:rPr>
          <w:rFonts w:ascii="Minion Pro"/>
          <w:b/>
          <w:sz w:val="20"/>
          <w:lang w:val="en-GB"/>
        </w:rPr>
        <w:t>Notes/Comments:</w:t>
      </w:r>
    </w:p>
    <w:p w14:paraId="7D8DE844" w14:textId="77777777" w:rsidR="00AE3E37" w:rsidRPr="005E0D81" w:rsidRDefault="00AE3E37">
      <w:pPr>
        <w:rPr>
          <w:rFonts w:ascii="Minion Pro"/>
          <w:sz w:val="24"/>
          <w:lang w:val="en-GB"/>
        </w:rPr>
        <w:sectPr w:rsidR="00AE3E37" w:rsidRPr="005E0D81" w:rsidSect="008E5477">
          <w:type w:val="continuous"/>
          <w:pgSz w:w="11910" w:h="16840"/>
          <w:pgMar w:top="995" w:right="600" w:bottom="840" w:left="620" w:header="720" w:footer="720" w:gutter="0"/>
          <w:cols w:space="720"/>
        </w:sectPr>
      </w:pPr>
    </w:p>
    <w:p w14:paraId="7D8DE845" w14:textId="77777777" w:rsidR="00F046EA" w:rsidRPr="0013708E" w:rsidRDefault="00F046EA" w:rsidP="00F046EA">
      <w:pPr>
        <w:jc w:val="both"/>
        <w:rPr>
          <w:b/>
        </w:rPr>
      </w:pPr>
      <w:r w:rsidRPr="0013708E">
        <w:rPr>
          <w:b/>
        </w:rPr>
        <w:lastRenderedPageBreak/>
        <w:t xml:space="preserve">Presenting author details </w:t>
      </w:r>
    </w:p>
    <w:p w14:paraId="7D8DE846" w14:textId="108155EA" w:rsidR="00F046EA" w:rsidRPr="0013708E" w:rsidRDefault="00F046EA" w:rsidP="00F046EA">
      <w:pPr>
        <w:jc w:val="both"/>
      </w:pPr>
      <w:r w:rsidRPr="0013708E">
        <w:t xml:space="preserve">Full name: </w:t>
      </w:r>
      <w:r w:rsidR="00C77F62" w:rsidRPr="00C77F62">
        <w:t>Milica Enoiu</w:t>
      </w:r>
    </w:p>
    <w:p w14:paraId="7D8DE847" w14:textId="22466686" w:rsidR="00F046EA" w:rsidRDefault="00F046EA" w:rsidP="00F046EA">
      <w:pPr>
        <w:jc w:val="both"/>
      </w:pPr>
      <w:r w:rsidRPr="0013708E">
        <w:t>Contact number:</w:t>
      </w:r>
      <w:r w:rsidR="00B11312">
        <w:t xml:space="preserve"> </w:t>
      </w:r>
      <w:r w:rsidR="00B11312" w:rsidRPr="00B11312">
        <w:t>+41 58 851 82 64</w:t>
      </w:r>
    </w:p>
    <w:p w14:paraId="7D8DE848" w14:textId="36BBF799" w:rsidR="00F046EA" w:rsidRPr="0013708E" w:rsidRDefault="00F046EA" w:rsidP="00F046EA">
      <w:pPr>
        <w:jc w:val="both"/>
      </w:pPr>
      <w:r>
        <w:t xml:space="preserve">Mail id: </w:t>
      </w:r>
      <w:r w:rsidR="00B11312" w:rsidRPr="00B11312">
        <w:t>milica.enoiu@viforpharma.com</w:t>
      </w:r>
    </w:p>
    <w:p w14:paraId="7D8DE849" w14:textId="77777777" w:rsidR="00F046EA" w:rsidRDefault="00F046EA" w:rsidP="00F046EA">
      <w:pPr>
        <w:jc w:val="both"/>
      </w:pPr>
      <w:r w:rsidRPr="0013708E">
        <w:t>Category: (Oral presentation/ Poster presentation)</w:t>
      </w:r>
      <w:r>
        <w:t xml:space="preserve"> </w:t>
      </w:r>
    </w:p>
    <w:p w14:paraId="7D8DE84A"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F6F2B" w14:textId="77777777" w:rsidR="00245A90" w:rsidRDefault="00245A90">
      <w:r>
        <w:separator/>
      </w:r>
    </w:p>
  </w:endnote>
  <w:endnote w:type="continuationSeparator" w:id="0">
    <w:p w14:paraId="289D64E7" w14:textId="77777777" w:rsidR="00245A90" w:rsidRDefault="00245A90">
      <w:r>
        <w:continuationSeparator/>
      </w:r>
    </w:p>
  </w:endnote>
  <w:endnote w:type="continuationNotice" w:id="1">
    <w:p w14:paraId="39783337" w14:textId="77777777" w:rsidR="00245A90" w:rsidRDefault="00245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DE859" w14:textId="0299C9F9"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070EB" w14:textId="77777777" w:rsidR="00245A90" w:rsidRDefault="00245A90">
      <w:r>
        <w:separator/>
      </w:r>
    </w:p>
  </w:footnote>
  <w:footnote w:type="continuationSeparator" w:id="0">
    <w:p w14:paraId="0185FCD0" w14:textId="77777777" w:rsidR="00245A90" w:rsidRDefault="00245A90">
      <w:r>
        <w:continuationSeparator/>
      </w:r>
    </w:p>
  </w:footnote>
  <w:footnote w:type="continuationNotice" w:id="1">
    <w:p w14:paraId="1F3D25F6" w14:textId="77777777" w:rsidR="00245A90" w:rsidRDefault="00245A9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1F4BAB"/>
    <w:multiLevelType w:val="hybridMultilevel"/>
    <w:tmpl w:val="3DFEBB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D09"/>
    <w:rsid w:val="00014F28"/>
    <w:rsid w:val="0003096A"/>
    <w:rsid w:val="000313C6"/>
    <w:rsid w:val="000370E4"/>
    <w:rsid w:val="00050AAA"/>
    <w:rsid w:val="00074532"/>
    <w:rsid w:val="000A150F"/>
    <w:rsid w:val="000B7369"/>
    <w:rsid w:val="000C4983"/>
    <w:rsid w:val="000C6891"/>
    <w:rsid w:val="000E2911"/>
    <w:rsid w:val="000E38E4"/>
    <w:rsid w:val="000F2B43"/>
    <w:rsid w:val="00101C61"/>
    <w:rsid w:val="001051CE"/>
    <w:rsid w:val="001263DF"/>
    <w:rsid w:val="00132F9E"/>
    <w:rsid w:val="00152D12"/>
    <w:rsid w:val="00155793"/>
    <w:rsid w:val="0018290B"/>
    <w:rsid w:val="0019598A"/>
    <w:rsid w:val="00197587"/>
    <w:rsid w:val="001A5198"/>
    <w:rsid w:val="001C17AF"/>
    <w:rsid w:val="001D1E72"/>
    <w:rsid w:val="001F2147"/>
    <w:rsid w:val="00222010"/>
    <w:rsid w:val="00236B3F"/>
    <w:rsid w:val="00244E31"/>
    <w:rsid w:val="00245A90"/>
    <w:rsid w:val="00255869"/>
    <w:rsid w:val="00257BC7"/>
    <w:rsid w:val="0027468A"/>
    <w:rsid w:val="0028685E"/>
    <w:rsid w:val="00292ED9"/>
    <w:rsid w:val="002A49F0"/>
    <w:rsid w:val="003007F1"/>
    <w:rsid w:val="0031584E"/>
    <w:rsid w:val="00321496"/>
    <w:rsid w:val="00332D7D"/>
    <w:rsid w:val="00342E6D"/>
    <w:rsid w:val="00351D9B"/>
    <w:rsid w:val="00360EA3"/>
    <w:rsid w:val="00380299"/>
    <w:rsid w:val="00384C1E"/>
    <w:rsid w:val="003975DD"/>
    <w:rsid w:val="003B3E1C"/>
    <w:rsid w:val="003B4422"/>
    <w:rsid w:val="003C24EE"/>
    <w:rsid w:val="003C2AD6"/>
    <w:rsid w:val="003C5884"/>
    <w:rsid w:val="003D7917"/>
    <w:rsid w:val="003E1958"/>
    <w:rsid w:val="003E4421"/>
    <w:rsid w:val="003E60CD"/>
    <w:rsid w:val="003F587B"/>
    <w:rsid w:val="00400A55"/>
    <w:rsid w:val="00404E5B"/>
    <w:rsid w:val="00411253"/>
    <w:rsid w:val="00414F7B"/>
    <w:rsid w:val="004355DC"/>
    <w:rsid w:val="004749B4"/>
    <w:rsid w:val="004806B4"/>
    <w:rsid w:val="004918B8"/>
    <w:rsid w:val="00494130"/>
    <w:rsid w:val="004B37A9"/>
    <w:rsid w:val="004C77BB"/>
    <w:rsid w:val="004F3523"/>
    <w:rsid w:val="0050238B"/>
    <w:rsid w:val="00502493"/>
    <w:rsid w:val="0050660F"/>
    <w:rsid w:val="00537BEC"/>
    <w:rsid w:val="0054280B"/>
    <w:rsid w:val="0055150F"/>
    <w:rsid w:val="00574EB2"/>
    <w:rsid w:val="005759F4"/>
    <w:rsid w:val="00583470"/>
    <w:rsid w:val="005973B9"/>
    <w:rsid w:val="005B3A56"/>
    <w:rsid w:val="005D3413"/>
    <w:rsid w:val="005E0D81"/>
    <w:rsid w:val="006060CE"/>
    <w:rsid w:val="0061014C"/>
    <w:rsid w:val="0061505C"/>
    <w:rsid w:val="006202C1"/>
    <w:rsid w:val="00632666"/>
    <w:rsid w:val="0063497F"/>
    <w:rsid w:val="00650BE6"/>
    <w:rsid w:val="00656D57"/>
    <w:rsid w:val="00671BE6"/>
    <w:rsid w:val="00676F94"/>
    <w:rsid w:val="00683BB0"/>
    <w:rsid w:val="00691A08"/>
    <w:rsid w:val="00697B79"/>
    <w:rsid w:val="006A1D15"/>
    <w:rsid w:val="006B0A8F"/>
    <w:rsid w:val="006B20E9"/>
    <w:rsid w:val="006F5BFE"/>
    <w:rsid w:val="006F6ECA"/>
    <w:rsid w:val="00713064"/>
    <w:rsid w:val="00714354"/>
    <w:rsid w:val="00717E96"/>
    <w:rsid w:val="00727D79"/>
    <w:rsid w:val="00734E0C"/>
    <w:rsid w:val="007716A5"/>
    <w:rsid w:val="00777A1B"/>
    <w:rsid w:val="007B46F8"/>
    <w:rsid w:val="007C4F64"/>
    <w:rsid w:val="007D59D8"/>
    <w:rsid w:val="00831656"/>
    <w:rsid w:val="00834983"/>
    <w:rsid w:val="00861AED"/>
    <w:rsid w:val="00873DF0"/>
    <w:rsid w:val="008756E6"/>
    <w:rsid w:val="00897EC5"/>
    <w:rsid w:val="008A0AE7"/>
    <w:rsid w:val="008B0CE2"/>
    <w:rsid w:val="008D5C30"/>
    <w:rsid w:val="008E5477"/>
    <w:rsid w:val="008F58B5"/>
    <w:rsid w:val="00911E54"/>
    <w:rsid w:val="0092196B"/>
    <w:rsid w:val="009239F0"/>
    <w:rsid w:val="009333CA"/>
    <w:rsid w:val="00936FA6"/>
    <w:rsid w:val="00942E5C"/>
    <w:rsid w:val="0096159A"/>
    <w:rsid w:val="0096789C"/>
    <w:rsid w:val="00981F1A"/>
    <w:rsid w:val="00991FE3"/>
    <w:rsid w:val="009B2D44"/>
    <w:rsid w:val="009C1D79"/>
    <w:rsid w:val="009D1349"/>
    <w:rsid w:val="009D53DB"/>
    <w:rsid w:val="009E3BE9"/>
    <w:rsid w:val="009E595D"/>
    <w:rsid w:val="009E5F81"/>
    <w:rsid w:val="00A07E82"/>
    <w:rsid w:val="00A17CA4"/>
    <w:rsid w:val="00A17FE9"/>
    <w:rsid w:val="00A31993"/>
    <w:rsid w:val="00A32D74"/>
    <w:rsid w:val="00A52075"/>
    <w:rsid w:val="00A60C67"/>
    <w:rsid w:val="00A64F80"/>
    <w:rsid w:val="00A804AC"/>
    <w:rsid w:val="00A80990"/>
    <w:rsid w:val="00A9710C"/>
    <w:rsid w:val="00AE3E37"/>
    <w:rsid w:val="00AF2C95"/>
    <w:rsid w:val="00AF2D39"/>
    <w:rsid w:val="00B02D5F"/>
    <w:rsid w:val="00B0771E"/>
    <w:rsid w:val="00B11312"/>
    <w:rsid w:val="00B21A57"/>
    <w:rsid w:val="00B4096B"/>
    <w:rsid w:val="00B42F36"/>
    <w:rsid w:val="00B54B93"/>
    <w:rsid w:val="00B558AC"/>
    <w:rsid w:val="00B62229"/>
    <w:rsid w:val="00B7071B"/>
    <w:rsid w:val="00B850AA"/>
    <w:rsid w:val="00BC5123"/>
    <w:rsid w:val="00BD066F"/>
    <w:rsid w:val="00BD604D"/>
    <w:rsid w:val="00BE345D"/>
    <w:rsid w:val="00C25D62"/>
    <w:rsid w:val="00C30C89"/>
    <w:rsid w:val="00C33602"/>
    <w:rsid w:val="00C409EB"/>
    <w:rsid w:val="00C5575C"/>
    <w:rsid w:val="00C56B77"/>
    <w:rsid w:val="00C56C74"/>
    <w:rsid w:val="00C66D1F"/>
    <w:rsid w:val="00C77F62"/>
    <w:rsid w:val="00C87E33"/>
    <w:rsid w:val="00C939DB"/>
    <w:rsid w:val="00CC65A3"/>
    <w:rsid w:val="00CD6F55"/>
    <w:rsid w:val="00CE1EB3"/>
    <w:rsid w:val="00D24DAB"/>
    <w:rsid w:val="00D35281"/>
    <w:rsid w:val="00D47BA6"/>
    <w:rsid w:val="00D50940"/>
    <w:rsid w:val="00D57DFF"/>
    <w:rsid w:val="00D61F82"/>
    <w:rsid w:val="00DA45B9"/>
    <w:rsid w:val="00DE3104"/>
    <w:rsid w:val="00DE3B18"/>
    <w:rsid w:val="00DE6170"/>
    <w:rsid w:val="00DF08D0"/>
    <w:rsid w:val="00DF3269"/>
    <w:rsid w:val="00DF63F7"/>
    <w:rsid w:val="00E05BEF"/>
    <w:rsid w:val="00E1357F"/>
    <w:rsid w:val="00E30AAC"/>
    <w:rsid w:val="00E3316A"/>
    <w:rsid w:val="00E643A7"/>
    <w:rsid w:val="00E7103A"/>
    <w:rsid w:val="00E91F41"/>
    <w:rsid w:val="00E92BE6"/>
    <w:rsid w:val="00E95D97"/>
    <w:rsid w:val="00E96697"/>
    <w:rsid w:val="00E9703E"/>
    <w:rsid w:val="00EA01D9"/>
    <w:rsid w:val="00EA58FC"/>
    <w:rsid w:val="00EA5A40"/>
    <w:rsid w:val="00EB441E"/>
    <w:rsid w:val="00EC4B77"/>
    <w:rsid w:val="00ED674C"/>
    <w:rsid w:val="00EE49FA"/>
    <w:rsid w:val="00F0333F"/>
    <w:rsid w:val="00F034F2"/>
    <w:rsid w:val="00F046EA"/>
    <w:rsid w:val="00F10A8B"/>
    <w:rsid w:val="00F216E0"/>
    <w:rsid w:val="00F6208D"/>
    <w:rsid w:val="00F646F0"/>
    <w:rsid w:val="00F66367"/>
    <w:rsid w:val="00F72EEA"/>
    <w:rsid w:val="00F84CAE"/>
    <w:rsid w:val="00F92181"/>
    <w:rsid w:val="00F93DC8"/>
    <w:rsid w:val="00F958FB"/>
    <w:rsid w:val="00FA0635"/>
    <w:rsid w:val="00FA1815"/>
    <w:rsid w:val="00FA41DE"/>
    <w:rsid w:val="00FC2F10"/>
    <w:rsid w:val="00FC6C9A"/>
    <w:rsid w:val="00FD68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D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F63F7"/>
    <w:rPr>
      <w:color w:val="605E5C"/>
      <w:shd w:val="clear" w:color="auto" w:fill="E1DFDD"/>
    </w:rPr>
  </w:style>
  <w:style w:type="character" w:styleId="CommentReference">
    <w:name w:val="annotation reference"/>
    <w:basedOn w:val="DefaultParagraphFont"/>
    <w:uiPriority w:val="99"/>
    <w:semiHidden/>
    <w:unhideWhenUsed/>
    <w:rsid w:val="0055150F"/>
    <w:rPr>
      <w:sz w:val="16"/>
      <w:szCs w:val="16"/>
    </w:rPr>
  </w:style>
  <w:style w:type="paragraph" w:styleId="CommentText">
    <w:name w:val="annotation text"/>
    <w:basedOn w:val="Normal"/>
    <w:link w:val="CommentTextChar"/>
    <w:uiPriority w:val="99"/>
    <w:unhideWhenUsed/>
    <w:rsid w:val="0055150F"/>
    <w:rPr>
      <w:sz w:val="20"/>
      <w:szCs w:val="20"/>
    </w:rPr>
  </w:style>
  <w:style w:type="character" w:customStyle="1" w:styleId="CommentTextChar">
    <w:name w:val="Comment Text Char"/>
    <w:basedOn w:val="DefaultParagraphFont"/>
    <w:link w:val="CommentText"/>
    <w:uiPriority w:val="99"/>
    <w:rsid w:val="0055150F"/>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5150F"/>
    <w:rPr>
      <w:b/>
      <w:bCs/>
    </w:rPr>
  </w:style>
  <w:style w:type="character" w:customStyle="1" w:styleId="CommentSubjectChar">
    <w:name w:val="Comment Subject Char"/>
    <w:basedOn w:val="CommentTextChar"/>
    <w:link w:val="CommentSubject"/>
    <w:uiPriority w:val="99"/>
    <w:semiHidden/>
    <w:rsid w:val="0055150F"/>
    <w:rPr>
      <w:rFonts w:ascii="Tw Cen MT" w:eastAsia="Tw Cen MT" w:hAnsi="Tw Cen MT" w:cs="Tw Cen MT"/>
      <w:b/>
      <w:bCs/>
      <w:sz w:val="20"/>
      <w:szCs w:val="20"/>
    </w:rPr>
  </w:style>
  <w:style w:type="paragraph" w:styleId="Revision">
    <w:name w:val="Revision"/>
    <w:hidden/>
    <w:uiPriority w:val="99"/>
    <w:semiHidden/>
    <w:rsid w:val="003B3E1C"/>
    <w:pPr>
      <w:widowControl/>
    </w:pPr>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F63F7"/>
    <w:rPr>
      <w:color w:val="605E5C"/>
      <w:shd w:val="clear" w:color="auto" w:fill="E1DFDD"/>
    </w:rPr>
  </w:style>
  <w:style w:type="character" w:styleId="CommentReference">
    <w:name w:val="annotation reference"/>
    <w:basedOn w:val="DefaultParagraphFont"/>
    <w:uiPriority w:val="99"/>
    <w:semiHidden/>
    <w:unhideWhenUsed/>
    <w:rsid w:val="0055150F"/>
    <w:rPr>
      <w:sz w:val="16"/>
      <w:szCs w:val="16"/>
    </w:rPr>
  </w:style>
  <w:style w:type="paragraph" w:styleId="CommentText">
    <w:name w:val="annotation text"/>
    <w:basedOn w:val="Normal"/>
    <w:link w:val="CommentTextChar"/>
    <w:uiPriority w:val="99"/>
    <w:unhideWhenUsed/>
    <w:rsid w:val="0055150F"/>
    <w:rPr>
      <w:sz w:val="20"/>
      <w:szCs w:val="20"/>
    </w:rPr>
  </w:style>
  <w:style w:type="character" w:customStyle="1" w:styleId="CommentTextChar">
    <w:name w:val="Comment Text Char"/>
    <w:basedOn w:val="DefaultParagraphFont"/>
    <w:link w:val="CommentText"/>
    <w:uiPriority w:val="99"/>
    <w:rsid w:val="0055150F"/>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5150F"/>
    <w:rPr>
      <w:b/>
      <w:bCs/>
    </w:rPr>
  </w:style>
  <w:style w:type="character" w:customStyle="1" w:styleId="CommentSubjectChar">
    <w:name w:val="Comment Subject Char"/>
    <w:basedOn w:val="CommentTextChar"/>
    <w:link w:val="CommentSubject"/>
    <w:uiPriority w:val="99"/>
    <w:semiHidden/>
    <w:rsid w:val="0055150F"/>
    <w:rPr>
      <w:rFonts w:ascii="Tw Cen MT" w:eastAsia="Tw Cen MT" w:hAnsi="Tw Cen MT" w:cs="Tw Cen MT"/>
      <w:b/>
      <w:bCs/>
      <w:sz w:val="20"/>
      <w:szCs w:val="20"/>
    </w:rPr>
  </w:style>
  <w:style w:type="paragraph" w:styleId="Revision">
    <w:name w:val="Revision"/>
    <w:hidden/>
    <w:uiPriority w:val="99"/>
    <w:semiHidden/>
    <w:rsid w:val="003B3E1C"/>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4180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liujun62nfyy@163.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0.jpe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ef22fcc-cff4-4bc4-b4c2-bd5aff78b0db">
      <UserInfo>
        <DisplayName>Bernard, Laurence</DisplayName>
        <AccountId>23</AccountId>
        <AccountType/>
      </UserInfo>
      <UserInfo>
        <DisplayName>Walpen, Sebastian</DisplayName>
        <AccountId>21</AccountId>
        <AccountType/>
      </UserInfo>
      <UserInfo>
        <DisplayName>Marty, Matthieu</DisplayName>
        <AccountId>33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F20334DD5B2C4DA10280324057A06B" ma:contentTypeVersion="6" ma:contentTypeDescription="Create a new document." ma:contentTypeScope="" ma:versionID="260926a646460bc5825ae98b160fd659">
  <xsd:schema xmlns:xsd="http://www.w3.org/2001/XMLSchema" xmlns:xs="http://www.w3.org/2001/XMLSchema" xmlns:p="http://schemas.microsoft.com/office/2006/metadata/properties" xmlns:ns2="eef22fcc-cff4-4bc4-b4c2-bd5aff78b0db" xmlns:ns3="41ecaebf-04ee-4a34-b478-6fc2e66ab108" targetNamespace="http://schemas.microsoft.com/office/2006/metadata/properties" ma:root="true" ma:fieldsID="4f7c6344d0d33452b2800465ff82ec54" ns2:_="" ns3:_="">
    <xsd:import namespace="eef22fcc-cff4-4bc4-b4c2-bd5aff78b0db"/>
    <xsd:import namespace="41ecaebf-04ee-4a34-b478-6fc2e66ab1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22fcc-cff4-4bc4-b4c2-bd5aff78b0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ecaebf-04ee-4a34-b478-6fc2e66ab10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86C78-3B69-44C0-AA5C-A3BAA9BA64DD}">
  <ds:schemaRefs>
    <ds:schemaRef ds:uri="http://schemas.microsoft.com/sharepoint/v3/contenttype/forms"/>
  </ds:schemaRefs>
</ds:datastoreItem>
</file>

<file path=customXml/itemProps2.xml><?xml version="1.0" encoding="utf-8"?>
<ds:datastoreItem xmlns:ds="http://schemas.openxmlformats.org/officeDocument/2006/customXml" ds:itemID="{4713802B-772A-402F-A150-68CCF4D5A4D7}">
  <ds:schemaRefs>
    <ds:schemaRef ds:uri="http://schemas.microsoft.com/office/2006/metadata/properties"/>
    <ds:schemaRef ds:uri="http://schemas.microsoft.com/office/infopath/2007/PartnerControls"/>
    <ds:schemaRef ds:uri="eef22fcc-cff4-4bc4-b4c2-bd5aff78b0db"/>
  </ds:schemaRefs>
</ds:datastoreItem>
</file>

<file path=customXml/itemProps3.xml><?xml version="1.0" encoding="utf-8"?>
<ds:datastoreItem xmlns:ds="http://schemas.openxmlformats.org/officeDocument/2006/customXml" ds:itemID="{32571582-84E9-456F-BC86-8E73DCD29B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22fcc-cff4-4bc4-b4c2-bd5aff78b0db"/>
    <ds:schemaRef ds:uri="41ecaebf-04ee-4a34-b478-6fc2e66ab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4406</CharactersWithSpaces>
  <SharedDoc>false</SharedDoc>
  <HLinks>
    <vt:vector size="12" baseType="variant">
      <vt:variant>
        <vt:i4>1572971</vt:i4>
      </vt:variant>
      <vt:variant>
        <vt:i4>0</vt:i4>
      </vt:variant>
      <vt:variant>
        <vt:i4>0</vt:i4>
      </vt:variant>
      <vt:variant>
        <vt:i4>5</vt:i4>
      </vt:variant>
      <vt:variant>
        <vt:lpwstr>mailto:liujun62nfyy@163.com</vt:lpwstr>
      </vt:variant>
      <vt:variant>
        <vt:lpwstr/>
      </vt:variant>
      <vt:variant>
        <vt:i4>458783</vt:i4>
      </vt:variant>
      <vt:variant>
        <vt:i4>0</vt:i4>
      </vt:variant>
      <vt:variant>
        <vt:i4>0</vt:i4>
      </vt:variant>
      <vt:variant>
        <vt:i4>5</vt:i4>
      </vt:variant>
      <vt:variant>
        <vt:lpwstr>http://en.ncrckd.cn/zxzsview.aspx?newsid=147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2022-09-23T04:48:00Z</dcterms:created>
  <dcterms:modified xsi:type="dcterms:W3CDTF">2022-09-23T04:48:00Z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0x010100C6F20334DD5B2C4DA10280324057A06B</vt:lpwstr>
  </property>
  <property fmtid="{D5CDD505-2E9C-101B-9397-08002B2CF9AE}" pid="6" name="MSIP_Label_cd146789-9338-440e-9bc2-d4582d10ca66_Enabled">
    <vt:lpwstr>true</vt:lpwstr>
  </property>
  <property fmtid="{D5CDD505-2E9C-101B-9397-08002B2CF9AE}" pid="7" name="MSIP_Label_cd146789-9338-440e-9bc2-d4582d10ca66_SetDate">
    <vt:lpwstr>2022-09-22T09:59:34Z</vt:lpwstr>
  </property>
  <property fmtid="{D5CDD505-2E9C-101B-9397-08002B2CF9AE}" pid="8" name="MSIP_Label_cd146789-9338-440e-9bc2-d4582d10ca66_Method">
    <vt:lpwstr>Privileged</vt:lpwstr>
  </property>
  <property fmtid="{D5CDD505-2E9C-101B-9397-08002B2CF9AE}" pid="9" name="MSIP_Label_cd146789-9338-440e-9bc2-d4582d10ca66_Name">
    <vt:lpwstr>Business Use</vt:lpwstr>
  </property>
  <property fmtid="{D5CDD505-2E9C-101B-9397-08002B2CF9AE}" pid="10" name="MSIP_Label_cd146789-9338-440e-9bc2-d4582d10ca66_SiteId">
    <vt:lpwstr>6836a9c5-69f0-4135-9e6b-43d1f616b550</vt:lpwstr>
  </property>
  <property fmtid="{D5CDD505-2E9C-101B-9397-08002B2CF9AE}" pid="11" name="MSIP_Label_cd146789-9338-440e-9bc2-d4582d10ca66_ActionId">
    <vt:lpwstr>3f5d3cfb-c702-4e72-a03c-91d3cfd281fb</vt:lpwstr>
  </property>
  <property fmtid="{D5CDD505-2E9C-101B-9397-08002B2CF9AE}" pid="12" name="MSIP_Label_cd146789-9338-440e-9bc2-d4582d10ca66_ContentBits">
    <vt:lpwstr>2</vt:lpwstr>
  </property>
</Properties>
</file>