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334CE" w14:textId="77777777" w:rsidR="00013B2C" w:rsidRPr="00013B2C" w:rsidRDefault="00013B2C" w:rsidP="00013B2C">
      <w:pPr>
        <w:pStyle w:val="Heading1"/>
        <w:widowControl w:val="0"/>
        <w:spacing w:before="170"/>
        <w:jc w:val="both"/>
        <w:rPr>
          <w:color w:val="337AB7"/>
        </w:rPr>
      </w:pPr>
      <w:r w:rsidRPr="00013B2C">
        <w:rPr>
          <w:color w:val="337AB7"/>
        </w:rPr>
        <w:t xml:space="preserve">Overcoming Limitations in Decarboxylative Arylation </w:t>
      </w:r>
      <w:r w:rsidRPr="00013B2C">
        <w:rPr>
          <w:i/>
          <w:iCs/>
          <w:color w:val="337AB7"/>
        </w:rPr>
        <w:t>via</w:t>
      </w:r>
      <w:r w:rsidRPr="00013B2C">
        <w:rPr>
          <w:color w:val="337AB7"/>
        </w:rPr>
        <w:t xml:space="preserve"> Ag-Ni Electrocatalysis</w:t>
      </w:r>
    </w:p>
    <w:p w14:paraId="07DC334E" w14:textId="2CC69412" w:rsidR="005973B9" w:rsidRDefault="00013B2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TeYu</w:t>
      </w:r>
      <w:proofErr w:type="spellEnd"/>
      <w:r>
        <w:rPr>
          <w:rFonts w:ascii="Arial"/>
        </w:rPr>
        <w:t xml:space="preserve"> Chen, Ph. D., Biogen, MA</w:t>
      </w:r>
      <w:r w:rsidR="005973B9">
        <w:rPr>
          <w:rFonts w:ascii="Arial"/>
        </w:rPr>
        <w:t>, USA</w:t>
      </w:r>
    </w:p>
    <w:p w14:paraId="25A8FF0B" w14:textId="77777777" w:rsidR="00AE3E37" w:rsidRDefault="00AE3E37">
      <w:pPr>
        <w:pStyle w:val="BodyText"/>
        <w:rPr>
          <w:rFonts w:ascii="Arial"/>
          <w:sz w:val="20"/>
        </w:rPr>
      </w:pPr>
    </w:p>
    <w:p w14:paraId="5F4D1C51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C4428A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9581C78" w14:textId="77777777" w:rsidR="00783CA3" w:rsidRPr="00783CA3" w:rsidRDefault="00783CA3" w:rsidP="00783CA3">
      <w:pPr>
        <w:pStyle w:val="NormalWeb"/>
        <w:jc w:val="both"/>
        <w:rPr>
          <w:rFonts w:ascii="Arial" w:hAnsi="Arial" w:cs="Arial"/>
        </w:rPr>
      </w:pPr>
      <w:r w:rsidRPr="00783CA3">
        <w:rPr>
          <w:rFonts w:ascii="Arial" w:hAnsi="Arial" w:cs="Arial"/>
          <w:sz w:val="20"/>
          <w:szCs w:val="20"/>
        </w:rPr>
        <w:t xml:space="preserve">A useful protocol for achieving decarboxylative cross coupling (DCC) of redox-active esters (RAE, isolated or generated in situ) and halo(hetero)arenes is reported. This pragmatically focused study employs a unique Ag-Ni </w:t>
      </w:r>
      <w:proofErr w:type="spellStart"/>
      <w:r w:rsidRPr="00783CA3">
        <w:rPr>
          <w:rFonts w:ascii="Arial" w:hAnsi="Arial" w:cs="Arial"/>
          <w:sz w:val="20"/>
          <w:szCs w:val="20"/>
        </w:rPr>
        <w:t>electrocata</w:t>
      </w:r>
      <w:proofErr w:type="spellEnd"/>
      <w:r w:rsidRPr="00783CA3">
        <w:rPr>
          <w:rFonts w:ascii="Arial" w:hAnsi="Arial" w:cs="Arial"/>
          <w:sz w:val="20"/>
          <w:szCs w:val="20"/>
        </w:rPr>
        <w:t xml:space="preserve">- lytic platform to overcome numerous limitations that have plagued this strategically powerful transformation. In its </w:t>
      </w:r>
      <w:proofErr w:type="spellStart"/>
      <w:r w:rsidRPr="00783CA3">
        <w:rPr>
          <w:rFonts w:ascii="Arial" w:hAnsi="Arial" w:cs="Arial"/>
          <w:sz w:val="20"/>
          <w:szCs w:val="20"/>
        </w:rPr>
        <w:t>opti</w:t>
      </w:r>
      <w:proofErr w:type="spellEnd"/>
      <w:r w:rsidRPr="00783CA3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83CA3">
        <w:rPr>
          <w:rFonts w:ascii="Arial" w:hAnsi="Arial" w:cs="Arial"/>
          <w:sz w:val="20"/>
          <w:szCs w:val="20"/>
        </w:rPr>
        <w:t>mized</w:t>
      </w:r>
      <w:proofErr w:type="spellEnd"/>
      <w:r w:rsidRPr="00783CA3">
        <w:rPr>
          <w:rFonts w:ascii="Arial" w:hAnsi="Arial" w:cs="Arial"/>
          <w:sz w:val="20"/>
          <w:szCs w:val="20"/>
        </w:rPr>
        <w:t xml:space="preserve"> form coupling partners can be combined in a surprisingly simple way: open to the air, technical grade solvents, an inexpensive ligand and Ni source, </w:t>
      </w:r>
      <w:proofErr w:type="spellStart"/>
      <w:r w:rsidRPr="00783CA3">
        <w:rPr>
          <w:rFonts w:ascii="Arial" w:hAnsi="Arial" w:cs="Arial"/>
          <w:sz w:val="20"/>
          <w:szCs w:val="20"/>
        </w:rPr>
        <w:t>substoichiometric</w:t>
      </w:r>
      <w:proofErr w:type="spellEnd"/>
      <w:r w:rsidRPr="00783CA3">
        <w:rPr>
          <w:rFonts w:ascii="Arial" w:hAnsi="Arial" w:cs="Arial"/>
          <w:sz w:val="20"/>
          <w:szCs w:val="20"/>
        </w:rPr>
        <w:t xml:space="preserve"> AgNO</w:t>
      </w:r>
      <w:r w:rsidRPr="00783CA3">
        <w:rPr>
          <w:rFonts w:ascii="Arial" w:hAnsi="Arial" w:cs="Arial"/>
          <w:sz w:val="12"/>
          <w:szCs w:val="12"/>
        </w:rPr>
        <w:t>3</w:t>
      </w:r>
      <w:r w:rsidRPr="00783CA3">
        <w:rPr>
          <w:rFonts w:ascii="Arial" w:hAnsi="Arial" w:cs="Arial"/>
          <w:sz w:val="20"/>
          <w:szCs w:val="20"/>
        </w:rPr>
        <w:t xml:space="preserve">, proceeding at room temperature in about 2 hours with a simple commercial </w:t>
      </w:r>
      <w:proofErr w:type="spellStart"/>
      <w:r w:rsidRPr="00783CA3">
        <w:rPr>
          <w:rFonts w:ascii="Arial" w:hAnsi="Arial" w:cs="Arial"/>
          <w:sz w:val="20"/>
          <w:szCs w:val="20"/>
        </w:rPr>
        <w:t>potentiostat</w:t>
      </w:r>
      <w:proofErr w:type="spellEnd"/>
      <w:r w:rsidRPr="00783CA3">
        <w:rPr>
          <w:rFonts w:ascii="Arial" w:hAnsi="Arial" w:cs="Arial"/>
          <w:sz w:val="20"/>
          <w:szCs w:val="20"/>
        </w:rPr>
        <w:t xml:space="preserve">. Most importantly </w:t>
      </w:r>
      <w:proofErr w:type="gramStart"/>
      <w:r w:rsidRPr="00783CA3">
        <w:rPr>
          <w:rFonts w:ascii="Arial" w:hAnsi="Arial" w:cs="Arial"/>
          <w:sz w:val="20"/>
          <w:szCs w:val="20"/>
        </w:rPr>
        <w:t>all of</w:t>
      </w:r>
      <w:proofErr w:type="gramEnd"/>
      <w:r w:rsidRPr="00783CA3">
        <w:rPr>
          <w:rFonts w:ascii="Arial" w:hAnsi="Arial" w:cs="Arial"/>
          <w:sz w:val="20"/>
          <w:szCs w:val="20"/>
        </w:rPr>
        <w:t xml:space="preserve"> the results are placed into context by benchmarking with state-of-the-art methods. Applications are presented that simplify synthesis and rapidly enable access to challenging chemical space. Finally, adaptation to multiple scale regimes, ranging from parallel mg-based synthesis to decagram recirculating flow is presented. </w:t>
      </w:r>
    </w:p>
    <w:p w14:paraId="4DD8E869" w14:textId="3F04770E" w:rsidR="00AE3E37" w:rsidRPr="00783CA3" w:rsidRDefault="00AE3E37" w:rsidP="00783CA3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</w:p>
    <w:p w14:paraId="1558D82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C68A84F" w14:textId="587F7EDE" w:rsidR="00AE3E37" w:rsidRDefault="00B2657C">
      <w:pPr>
        <w:pStyle w:val="BodyText"/>
        <w:spacing w:before="2"/>
        <w:rPr>
          <w:rFonts w:ascii="Arial"/>
          <w:b/>
          <w:sz w:val="16"/>
        </w:rPr>
      </w:pPr>
      <w:r w:rsidRPr="00B2657C">
        <w:rPr>
          <w:rFonts w:ascii="Arial"/>
          <w:b/>
          <w:noProof/>
          <w:sz w:val="16"/>
        </w:rPr>
        <w:object w:dxaOrig="14780" w:dyaOrig="3480" w14:anchorId="2E32E4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57.6pt;height:60.75pt;mso-width-percent:0;mso-height-percent:0;mso-width-percent:0;mso-height-percent:0" o:ole="">
            <v:imagedata r:id="rId8" o:title=""/>
          </v:shape>
          <o:OLEObject Type="Embed" ProgID="Unknown" ShapeID="_x0000_i1025" DrawAspect="Content" ObjectID="_1722666774" r:id="rId9"/>
        </w:object>
      </w:r>
    </w:p>
    <w:p w14:paraId="260DA043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977683A" w14:textId="063EDEE5" w:rsidR="00783CA3" w:rsidRPr="008F31EC" w:rsidRDefault="008F31EC" w:rsidP="008F31EC">
      <w:pPr>
        <w:pStyle w:val="ListParagraph"/>
        <w:numPr>
          <w:ilvl w:val="0"/>
          <w:numId w:val="3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C6118D">
        <w:rPr>
          <w:rFonts w:asciiTheme="minorHAnsi" w:eastAsia="Minion Pro" w:hAnsiTheme="minorHAnsi" w:cstheme="minorHAnsi"/>
          <w:b/>
          <w:bCs/>
          <w:color w:val="000000" w:themeColor="text1"/>
          <w:sz w:val="18"/>
          <w:szCs w:val="18"/>
        </w:rPr>
        <w:t xml:space="preserve">Overcoming Limitations in Decarboxylative Arylation </w:t>
      </w:r>
      <w:r w:rsidRPr="00C6118D">
        <w:rPr>
          <w:rFonts w:asciiTheme="minorHAnsi" w:eastAsia="Minion Pro" w:hAnsiTheme="minorHAnsi" w:cstheme="minorHAnsi"/>
          <w:b/>
          <w:bCs/>
          <w:i/>
          <w:iCs/>
          <w:color w:val="000000" w:themeColor="text1"/>
          <w:sz w:val="18"/>
          <w:szCs w:val="18"/>
        </w:rPr>
        <w:t>via</w:t>
      </w:r>
      <w:r w:rsidRPr="00C6118D">
        <w:rPr>
          <w:rFonts w:asciiTheme="minorHAnsi" w:eastAsia="Minion Pro" w:hAnsiTheme="minorHAnsi" w:cstheme="minorHAnsi"/>
          <w:b/>
          <w:bCs/>
          <w:color w:val="000000" w:themeColor="text1"/>
          <w:sz w:val="18"/>
          <w:szCs w:val="18"/>
        </w:rPr>
        <w:t xml:space="preserve"> Ag-Ni Electrocatalysis. </w:t>
      </w:r>
      <w:r w:rsidRPr="008F31EC">
        <w:rPr>
          <w:rFonts w:asciiTheme="minorHAnsi" w:eastAsia="Minion Pro" w:hAnsiTheme="minorHAnsi" w:cstheme="minorHAnsi"/>
          <w:color w:val="000000" w:themeColor="text1"/>
          <w:sz w:val="18"/>
          <w:szCs w:val="18"/>
        </w:rPr>
        <w:t xml:space="preserve">Manuscript under review by </w:t>
      </w:r>
      <w:r w:rsidRPr="008F31EC">
        <w:rPr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J. Am. Chem. Soc.</w:t>
      </w:r>
    </w:p>
    <w:p w14:paraId="1BB9153E" w14:textId="4A869E65" w:rsidR="00783CA3" w:rsidRPr="00783CA3" w:rsidRDefault="00783CA3" w:rsidP="00783CA3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C6118D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</w:rPr>
        <w:t xml:space="preserve">Discovery of Phospholipase D Inhibitors with Improved Drug-like Properties and Central Nervous System </w:t>
      </w:r>
      <w:proofErr w:type="spellStart"/>
      <w:r w:rsidRPr="00C6118D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</w:rPr>
        <w:t>Penetrance</w:t>
      </w:r>
      <w:r w:rsidRPr="00C6118D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  <w:bdr w:val="none" w:sz="0" w:space="0" w:color="auto" w:frame="1"/>
        </w:rPr>
        <w:t>Discovery</w:t>
      </w:r>
      <w:proofErr w:type="spellEnd"/>
      <w:r w:rsidRPr="00C6118D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  <w:bdr w:val="none" w:sz="0" w:space="0" w:color="auto" w:frame="1"/>
        </w:rPr>
        <w:t xml:space="preserve"> of Phospholipase D Inhibitors with Improved Drug-like Properties and Central Nervous System Penetrance</w:t>
      </w:r>
      <w:r w:rsidRPr="00C6118D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  <w:bdr w:val="none" w:sz="0" w:space="0" w:color="auto" w:frame="1"/>
        </w:rPr>
        <w:t>.</w:t>
      </w:r>
      <w:r w:rsidRPr="00783CA3">
        <w:rPr>
          <w:rFonts w:asciiTheme="minorHAnsi" w:eastAsia="Times New Roman" w:hAnsiTheme="minorHAnsi" w:cstheme="minorHAnsi"/>
          <w:color w:val="000000" w:themeColor="text1"/>
          <w:sz w:val="18"/>
          <w:szCs w:val="18"/>
          <w:bdr w:val="none" w:sz="0" w:space="0" w:color="auto" w:frame="1"/>
        </w:rPr>
        <w:t xml:space="preserve"> </w:t>
      </w:r>
      <w:r w:rsidRPr="00783CA3">
        <w:rPr>
          <w:rFonts w:asciiTheme="minorHAnsi" w:eastAsia="Times New Roman" w:hAnsiTheme="minorHAnsi" w:cstheme="minorHAnsi"/>
          <w:i/>
          <w:iCs/>
          <w:color w:val="000000" w:themeColor="text1"/>
          <w:sz w:val="18"/>
          <w:szCs w:val="18"/>
          <w:shd w:val="clear" w:color="auto" w:fill="FFFFFF"/>
        </w:rPr>
        <w:t>ACS Med. Chem. Lett.</w:t>
      </w:r>
      <w:r w:rsidRPr="00783CA3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783CA3">
        <w:rPr>
          <w:rFonts w:asciiTheme="minorHAnsi" w:eastAsia="Times New Roman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2022</w:t>
      </w:r>
      <w:r w:rsidRPr="00783CA3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, </w:t>
      </w:r>
      <w:r w:rsidRPr="00783CA3">
        <w:rPr>
          <w:rFonts w:asciiTheme="minorHAnsi" w:eastAsia="Times New Roman" w:hAnsiTheme="minorHAnsi" w:cstheme="minorHAnsi"/>
          <w:i/>
          <w:iCs/>
          <w:color w:val="000000" w:themeColor="text1"/>
          <w:sz w:val="18"/>
          <w:szCs w:val="18"/>
          <w:shd w:val="clear" w:color="auto" w:fill="FFFFFF"/>
        </w:rPr>
        <w:t>13</w:t>
      </w:r>
      <w:r w:rsidRPr="00783CA3">
        <w:rPr>
          <w:rFonts w:asciiTheme="minorHAnsi" w:eastAsia="Times New Roman" w:hAnsiTheme="minorHAnsi" w:cstheme="minorHAnsi"/>
          <w:color w:val="000000" w:themeColor="text1"/>
          <w:sz w:val="18"/>
          <w:szCs w:val="18"/>
          <w:shd w:val="clear" w:color="auto" w:fill="FFFFFF"/>
        </w:rPr>
        <w:t>, 665</w:t>
      </w:r>
    </w:p>
    <w:p w14:paraId="30B5B364" w14:textId="77777777" w:rsidR="008F31EC" w:rsidRPr="008F31EC" w:rsidRDefault="00783CA3" w:rsidP="008F31EC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C6118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Human PLD structures enable drug design and characterization of isoenzyme selectivity</w:t>
      </w:r>
      <w:r w:rsidRPr="00C6118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. </w:t>
      </w:r>
      <w:r w:rsidRPr="00783CA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Nature Chemical Biology</w:t>
      </w:r>
      <w:r w:rsidRPr="00783CA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783CA3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2020</w:t>
      </w:r>
      <w:r w:rsidRPr="00783CA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Pr="00783CA3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shd w:val="clear" w:color="auto" w:fill="FFFFFF"/>
        </w:rPr>
        <w:t>16</w:t>
      </w:r>
      <w:r w:rsidRPr="00783CA3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>,</w:t>
      </w:r>
      <w:r w:rsidRPr="00783CA3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783CA3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>391</w:t>
      </w:r>
    </w:p>
    <w:p w14:paraId="4CF56379" w14:textId="40995880" w:rsidR="008F31EC" w:rsidRPr="008F31EC" w:rsidRDefault="008F31EC" w:rsidP="008F31EC">
      <w:pPr>
        <w:pStyle w:val="ListParagraph"/>
        <w:numPr>
          <w:ilvl w:val="0"/>
          <w:numId w:val="3"/>
        </w:numPr>
        <w:shd w:val="clear" w:color="auto" w:fill="FFFFFF"/>
        <w:rPr>
          <w:rStyle w:val="cit-pagerange"/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Evaluation of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Chromane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-Based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Bryostatin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Analogues Prepared via Hydrogen-Mediated C–C Bond Formation: Potency Does Not Confer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Bryostatin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-like Biology</w:t>
      </w: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.</w:t>
      </w:r>
      <w:r w:rsidRPr="008F31EC">
        <w:rPr>
          <w:rStyle w:val="hlfld-title"/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F31EC">
        <w:rPr>
          <w:rStyle w:val="cit-titl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J. Am. Chem. Soc.</w:t>
      </w:r>
      <w:r w:rsidRPr="008F31EC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8F31EC">
        <w:rPr>
          <w:rStyle w:val="cit-year-info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2016</w:t>
      </w:r>
      <w:r w:rsidRPr="008F31EC">
        <w:rPr>
          <w:rStyle w:val="cit-volum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8F31EC"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138</w:t>
      </w:r>
      <w:r w:rsidRPr="008F31EC">
        <w:rPr>
          <w:rStyle w:val="cit-pagerang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, 13415</w:t>
      </w:r>
    </w:p>
    <w:p w14:paraId="6EB38699" w14:textId="77777777" w:rsidR="008F31EC" w:rsidRPr="008F31EC" w:rsidRDefault="008F31EC" w:rsidP="008F31EC">
      <w:pPr>
        <w:pStyle w:val="ListParagraph"/>
        <w:numPr>
          <w:ilvl w:val="0"/>
          <w:numId w:val="3"/>
        </w:numPr>
        <w:shd w:val="clear" w:color="auto" w:fill="FFFFFF"/>
        <w:rPr>
          <w:rStyle w:val="cit-pagerange"/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Ruthenium Catalyzed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Diastereo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- and Enantioselective Coupling of Propargyl Ethers with Alcohols: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Siloxy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-Crotylation via Hydride Shift Enabled Conversion of Alkynes to π-Allyls</w:t>
      </w: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. </w:t>
      </w:r>
      <w:r w:rsidRPr="008F31EC">
        <w:rPr>
          <w:rStyle w:val="cit-titl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J. Am. Chem. Soc.</w:t>
      </w:r>
      <w:r w:rsidRPr="008F31EC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8F31EC">
        <w:rPr>
          <w:rStyle w:val="cit-year-info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2015</w:t>
      </w:r>
      <w:r w:rsidRPr="008F31EC">
        <w:rPr>
          <w:rStyle w:val="cit-volum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8F31EC"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137</w:t>
      </w:r>
      <w:r w:rsidRPr="008F31EC">
        <w:rPr>
          <w:rStyle w:val="cit-pagerang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, 13066</w:t>
      </w:r>
    </w:p>
    <w:p w14:paraId="121B14E5" w14:textId="77777777" w:rsidR="00C6118D" w:rsidRPr="00C6118D" w:rsidRDefault="008F31EC" w:rsidP="00C6118D">
      <w:pPr>
        <w:pStyle w:val="ListParagraph"/>
        <w:numPr>
          <w:ilvl w:val="0"/>
          <w:numId w:val="3"/>
        </w:numPr>
        <w:shd w:val="clear" w:color="auto" w:fill="FFFFFF"/>
        <w:rPr>
          <w:rStyle w:val="cit-pagerange"/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Ruthenium-Catalyzed C–C Coupling of Amino Alcohols with Dienes via Transfer Hydrogenation: Redox-Triggered Imine Addition and Related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Hydroaminoalkylations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.</w:t>
      </w:r>
      <w:r w:rsidRPr="008F31EC">
        <w:rPr>
          <w:rStyle w:val="hlfld-title"/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8F31EC">
        <w:rPr>
          <w:rStyle w:val="cit-titl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J. Am. Chem. Soc.</w:t>
      </w:r>
      <w:r w:rsidRPr="008F31EC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8F31EC">
        <w:rPr>
          <w:rStyle w:val="cit-year-info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2015</w:t>
      </w:r>
      <w:r w:rsidRPr="008F31EC">
        <w:rPr>
          <w:rStyle w:val="cit-volum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8F31EC"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13</w:t>
      </w:r>
      <w:r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7</w:t>
      </w:r>
      <w:r w:rsidRPr="008F31EC">
        <w:rPr>
          <w:rStyle w:val="cit-pagerang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, 1798</w:t>
      </w:r>
    </w:p>
    <w:p w14:paraId="312B827E" w14:textId="02D97CB0" w:rsidR="00C6118D" w:rsidRPr="00C6118D" w:rsidRDefault="00C6118D" w:rsidP="00C6118D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Benzannulation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via Ruthenium-Catalyzed Diol–Diene [4+2] Cycloaddition: One- and Two-Directional Syntheses of </w:t>
      </w:r>
      <w:proofErr w:type="spellStart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Fluoranthenes</w:t>
      </w:r>
      <w:proofErr w:type="spellEnd"/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and Acenes</w:t>
      </w:r>
      <w:r w:rsidRPr="00C6118D">
        <w:rPr>
          <w:rStyle w:val="hlfld-title"/>
          <w:rFonts w:asciiTheme="minorHAnsi" w:hAnsiTheme="minorHAnsi" w:cstheme="minorHAnsi"/>
          <w:b/>
          <w:bCs/>
          <w:color w:val="000000"/>
          <w:sz w:val="18"/>
          <w:szCs w:val="18"/>
        </w:rPr>
        <w:t>.</w:t>
      </w:r>
      <w:r w:rsidRPr="00C6118D">
        <w:rPr>
          <w:rStyle w:val="hlfld-title"/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C6118D">
        <w:rPr>
          <w:rStyle w:val="cit-titl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J. Am. Chem. Soc.</w:t>
      </w:r>
      <w:r w:rsidRPr="00C6118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C6118D">
        <w:rPr>
          <w:rStyle w:val="cit-year-info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2014</w:t>
      </w:r>
      <w:r w:rsidRPr="00C6118D">
        <w:rPr>
          <w:rStyle w:val="cit-volum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C6118D"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136</w:t>
      </w:r>
      <w:r w:rsidRPr="00C6118D">
        <w:rPr>
          <w:rStyle w:val="cit-issue"/>
          <w:rFonts w:asciiTheme="minorHAnsi" w:eastAsia="Tw Cen MT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C6118D">
        <w:rPr>
          <w:rStyle w:val="cit-pagerang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5920</w:t>
      </w:r>
    </w:p>
    <w:p w14:paraId="393F0530" w14:textId="5D5CC64F" w:rsidR="00C6118D" w:rsidRPr="00C6118D" w:rsidRDefault="00C6118D" w:rsidP="00C611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C6118D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Regioselective Ruthenium Catalyzed </w:t>
      </w:r>
      <w:proofErr w:type="spellStart"/>
      <w:r w:rsidRPr="00C6118D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Hydrohydroxyalkylation</w:t>
      </w:r>
      <w:proofErr w:type="spellEnd"/>
      <w:r w:rsidRPr="00C6118D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 of Dienes with 3</w:t>
      </w:r>
      <w:r w:rsidRPr="00C6118D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noBreakHyphen/>
        <w:t>Hydroxy-2-oxindoles: Prenylation, Geranylation, and Beyond</w:t>
      </w:r>
      <w:r w:rsidRPr="00C6118D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. </w:t>
      </w:r>
      <w:r w:rsidRPr="00C6118D">
        <w:rPr>
          <w:rStyle w:val="cit-titl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Org. Lett.</w:t>
      </w:r>
      <w:r w:rsidRPr="00C6118D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C6118D">
        <w:rPr>
          <w:rStyle w:val="cit-year-info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2013</w:t>
      </w:r>
      <w:r w:rsidRPr="00C6118D">
        <w:rPr>
          <w:rStyle w:val="cit-volum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C6118D">
        <w:rPr>
          <w:rStyle w:val="cit-volume"/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</w:rPr>
        <w:t>15</w:t>
      </w:r>
      <w:r w:rsidRPr="00C6118D">
        <w:rPr>
          <w:rStyle w:val="cit-issue"/>
          <w:rFonts w:asciiTheme="minorHAnsi" w:eastAsia="Tw Cen MT" w:hAnsiTheme="minorHAnsi" w:cstheme="minorHAnsi"/>
          <w:color w:val="000000"/>
          <w:sz w:val="18"/>
          <w:szCs w:val="18"/>
          <w:shd w:val="clear" w:color="auto" w:fill="FFFFFF"/>
        </w:rPr>
        <w:t>,</w:t>
      </w:r>
      <w:r>
        <w:rPr>
          <w:rStyle w:val="cit-issue"/>
          <w:rFonts w:asciiTheme="minorHAnsi" w:eastAsia="Tw Cen MT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r w:rsidRPr="00C6118D">
        <w:rPr>
          <w:rStyle w:val="cit-pagerange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2994</w:t>
      </w:r>
    </w:p>
    <w:p w14:paraId="41336F5D" w14:textId="76F5EC5F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D4429F5" w14:textId="77777777" w:rsidR="00AE3E37" w:rsidRDefault="00AE3E37">
      <w:pPr>
        <w:pStyle w:val="BodyText"/>
        <w:rPr>
          <w:rFonts w:ascii="Calibri"/>
          <w:sz w:val="20"/>
        </w:rPr>
      </w:pPr>
    </w:p>
    <w:p w14:paraId="6B0AA0C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46FCE35" wp14:editId="10469F0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AFB6C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11C6C70A" w14:textId="2895B888" w:rsidR="00AE3E37" w:rsidRPr="008F31EC" w:rsidRDefault="008756E6" w:rsidP="008F31EC">
      <w:r>
        <w:rPr>
          <w:noProof/>
        </w:rPr>
        <w:t xml:space="preserve">     </w:t>
      </w:r>
      <w:r w:rsidR="000E600F" w:rsidRPr="000E600F">
        <w:rPr>
          <w:noProof/>
        </w:rPr>
        <w:drawing>
          <wp:inline distT="0" distB="0" distL="0" distR="0" wp14:anchorId="48EB9B7E" wp14:editId="6BCB3A92">
            <wp:extent cx="620786" cy="620786"/>
            <wp:effectExtent l="0" t="0" r="190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569" cy="63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 w:rsidRPr="000E600F">
        <w:rPr>
          <w:rFonts w:ascii="Arial" w:hAnsi="Arial" w:cs="Arial"/>
          <w:color w:val="BF5A14"/>
        </w:rPr>
        <w:t>Biography</w:t>
      </w:r>
      <w:r w:rsidR="000E600F">
        <w:rPr>
          <w:rFonts w:ascii="Arial" w:hAnsi="Arial" w:cs="Arial"/>
          <w:color w:val="BF5A14"/>
        </w:rPr>
        <w:t xml:space="preserve"> - </w:t>
      </w:r>
      <w:proofErr w:type="spellStart"/>
      <w:r w:rsidR="000E600F">
        <w:rPr>
          <w:rFonts w:ascii="Arial" w:hAnsi="Arial" w:cs="Arial"/>
          <w:color w:val="BF5A14"/>
        </w:rPr>
        <w:t>TeYu</w:t>
      </w:r>
      <w:proofErr w:type="spellEnd"/>
      <w:r w:rsidR="000E600F">
        <w:rPr>
          <w:rFonts w:ascii="Arial" w:hAnsi="Arial" w:cs="Arial"/>
          <w:color w:val="BF5A14"/>
        </w:rPr>
        <w:t xml:space="preserve"> Chen</w:t>
      </w:r>
      <w:r w:rsidR="00783CA3">
        <w:rPr>
          <w:rFonts w:ascii="Arial" w:hAnsi="Arial" w:cs="Arial"/>
          <w:color w:val="BF5A14"/>
        </w:rPr>
        <w:t xml:space="preserve">                                                                           </w:t>
      </w:r>
      <w:r w:rsidR="000E600F">
        <w:rPr>
          <w:rFonts w:ascii="Arial" w:hAnsi="Arial" w:cs="Arial"/>
          <w:color w:val="BF5A14"/>
        </w:rPr>
        <w:t xml:space="preserve"> </w:t>
      </w:r>
      <w:r w:rsidR="00783CA3" w:rsidRPr="00783CA3">
        <w:fldChar w:fldCharType="begin"/>
      </w:r>
      <w:r w:rsidR="00783CA3" w:rsidRPr="00783CA3">
        <w:instrText xml:space="preserve"> INCLUDEPICTURE "https://media-exp1.licdn.com/dms/image/C560BAQGxyK5751X-Eg/company-logo_200_200/0/1656679727848?e=2147483647&amp;v=beta&amp;t=yqo4DP1GW9hMgiZEpr1cqGTcEaGSb5Jsm2aVKQci7tQ" \* MERGEFORMATINET </w:instrText>
      </w:r>
      <w:r w:rsidR="00783CA3" w:rsidRPr="00783CA3">
        <w:fldChar w:fldCharType="separate"/>
      </w:r>
      <w:r w:rsidR="00783CA3" w:rsidRPr="00783CA3">
        <w:rPr>
          <w:noProof/>
        </w:rPr>
        <w:drawing>
          <wp:inline distT="0" distB="0" distL="0" distR="0" wp14:anchorId="2DBDF773" wp14:editId="085E07A2">
            <wp:extent cx="621792" cy="621792"/>
            <wp:effectExtent l="0" t="0" r="635" b="635"/>
            <wp:docPr id="4" name="Picture 4" descr="Biogen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ogen | Linked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CA3" w:rsidRPr="00783CA3">
        <w:fldChar w:fldCharType="end"/>
      </w:r>
    </w:p>
    <w:p w14:paraId="11CE8EE5" w14:textId="3BBA1308" w:rsidR="00AE3E37" w:rsidRDefault="00013B2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13B2C">
        <w:rPr>
          <w:rFonts w:ascii="Arial"/>
          <w:sz w:val="14"/>
        </w:rPr>
        <w:t>As a medicinal chemist with experience in Neuroscience, I focus on using complex organic synthesis to develop and enhance the SAR of various scaffolds with the eventual goal of developing small molecule clinical candidates in the CNS field. I lead Biogen High throughput Parallel Medicinal Chemistry (PMC) synthesis platform - support projects teams from Hit ID to Lead Op discovery phase with the design, quick feasibility studies, and fast turn-around of focused matrix libraries. Establish internal capabilities to optimize standard library-type reaction conditions to support the above PMC efforts. In the meantime, I closely collaborate with project teams and computational chemists to develop PMC enable chemistry for CNS compound design and synthesis and cross-functionally with discovery biologists, quantitative biologists, and DMPK teams to achieve our goals.</w:t>
      </w:r>
    </w:p>
    <w:p w14:paraId="3C4CACE0" w14:textId="7D238733" w:rsidR="00AE3E37" w:rsidRPr="000E600F" w:rsidRDefault="00A9710C">
      <w:pPr>
        <w:spacing w:before="62"/>
        <w:ind w:left="4217" w:right="4235"/>
        <w:jc w:val="center"/>
        <w:rPr>
          <w:rFonts w:ascii="Arial" w:hAnsi="Arial" w:cs="Arial"/>
          <w:sz w:val="15"/>
          <w:szCs w:val="15"/>
        </w:rPr>
      </w:pPr>
      <w:r w:rsidRPr="000E600F">
        <w:rPr>
          <w:rFonts w:ascii="Arial" w:hAnsi="Arial" w:cs="Arial"/>
          <w:sz w:val="15"/>
          <w:szCs w:val="15"/>
        </w:rPr>
        <w:t xml:space="preserve">Email: </w:t>
      </w:r>
      <w:r w:rsidR="000E600F" w:rsidRPr="000E600F">
        <w:rPr>
          <w:rFonts w:ascii="Arial" w:hAnsi="Arial" w:cs="Arial"/>
          <w:sz w:val="15"/>
          <w:szCs w:val="15"/>
        </w:rPr>
        <w:t>ryan.chen@biogen.com</w:t>
      </w:r>
    </w:p>
    <w:p w14:paraId="2AA5CFF9" w14:textId="12D5144C" w:rsidR="00AE3E37" w:rsidRPr="008F31EC" w:rsidRDefault="00292ED9" w:rsidP="008F31EC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A554E02" wp14:editId="359EAA4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4153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36283BBB" w14:textId="77777777" w:rsidR="00AE3E37" w:rsidRDefault="00A9710C" w:rsidP="008F31EC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4E19A87" w14:textId="77777777" w:rsidR="00EA7D51" w:rsidRDefault="00EA7D51" w:rsidP="008F31EC">
      <w:pPr>
        <w:spacing w:before="39"/>
        <w:rPr>
          <w:rFonts w:ascii="Minion Pro"/>
          <w:b/>
          <w:sz w:val="20"/>
        </w:rPr>
      </w:pPr>
    </w:p>
    <w:p w14:paraId="14C58A53" w14:textId="4A671024" w:rsidR="00C6118D" w:rsidRPr="00C6118D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0E600F">
        <w:rPr>
          <w:sz w:val="20"/>
          <w:szCs w:val="20"/>
          <w:lang w:val="en-NZ"/>
        </w:rPr>
        <w:t>TeYu</w:t>
      </w:r>
      <w:proofErr w:type="spellEnd"/>
      <w:r w:rsidR="000E600F">
        <w:rPr>
          <w:sz w:val="20"/>
          <w:szCs w:val="20"/>
          <w:lang w:val="en-NZ"/>
        </w:rPr>
        <w:t xml:space="preserve"> Chen</w:t>
      </w:r>
      <w:r w:rsidRPr="00F35A62">
        <w:rPr>
          <w:sz w:val="20"/>
          <w:szCs w:val="20"/>
          <w:lang w:val="en-NZ"/>
        </w:rPr>
        <w:br/>
        <w:t>Contact number:</w:t>
      </w:r>
      <w:r w:rsidR="000E600F">
        <w:rPr>
          <w:sz w:val="20"/>
          <w:szCs w:val="20"/>
          <w:lang w:val="en-NZ"/>
        </w:rPr>
        <w:t xml:space="preserve"> 6174178048</w:t>
      </w:r>
      <w:r w:rsidRPr="00F35A62">
        <w:rPr>
          <w:sz w:val="20"/>
          <w:szCs w:val="20"/>
          <w:lang w:val="en-NZ"/>
        </w:rPr>
        <w:br/>
        <w:t>Twitter account:</w:t>
      </w:r>
      <w:r w:rsidR="000E600F">
        <w:rPr>
          <w:sz w:val="20"/>
          <w:szCs w:val="20"/>
          <w:lang w:val="en-NZ"/>
        </w:rPr>
        <w:t xml:space="preserve"> N/A</w:t>
      </w:r>
      <w:r w:rsidRPr="00F35A62">
        <w:rPr>
          <w:sz w:val="20"/>
          <w:szCs w:val="20"/>
          <w:lang w:val="en-NZ"/>
        </w:rPr>
        <w:br/>
        <w:t>Linked In account:</w:t>
      </w:r>
      <w:r w:rsidR="000E600F">
        <w:rPr>
          <w:sz w:val="20"/>
          <w:szCs w:val="20"/>
          <w:lang w:val="en-NZ"/>
        </w:rPr>
        <w:t xml:space="preserve"> </w:t>
      </w:r>
      <w:hyperlink r:id="rId12" w:history="1">
        <w:r w:rsidR="00C6118D" w:rsidRPr="0030464C">
          <w:rPr>
            <w:rStyle w:val="Hyperlink"/>
            <w:sz w:val="20"/>
            <w:szCs w:val="20"/>
            <w:lang w:val="en-NZ"/>
          </w:rPr>
          <w:t>https://www.linkedin.com/in/teyu-ryan-chen-ph-d-mba-ms-candidate-3780a4143/</w:t>
        </w:r>
      </w:hyperlink>
    </w:p>
    <w:p w14:paraId="27F10E48" w14:textId="2A7936AC" w:rsidR="00EA7D51" w:rsidRPr="008F31EC" w:rsidRDefault="00EA7D51" w:rsidP="008F31EC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8F31EC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Poster presentation</w:t>
      </w:r>
    </w:p>
    <w:p w14:paraId="65BD9F9E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07D11" w14:textId="77777777" w:rsidR="00B2657C" w:rsidRDefault="00B2657C">
      <w:r>
        <w:separator/>
      </w:r>
    </w:p>
  </w:endnote>
  <w:endnote w:type="continuationSeparator" w:id="0">
    <w:p w14:paraId="5C29EDCA" w14:textId="77777777" w:rsidR="00B2657C" w:rsidRDefault="00B2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899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3C56683" wp14:editId="06FA973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BABA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0853DE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C5668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70CBABA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0853DE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87FAD6" wp14:editId="39AEC6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0B2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14:paraId="3BDAC20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87FAD6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3E00B2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14:paraId="3BDAC20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0F38010" wp14:editId="18848F6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3BAD6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D78DC9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F38010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553BAD6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D78DC9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CC5AF" w14:textId="77777777" w:rsidR="00B2657C" w:rsidRDefault="00B2657C">
      <w:r>
        <w:separator/>
      </w:r>
    </w:p>
  </w:footnote>
  <w:footnote w:type="continuationSeparator" w:id="0">
    <w:p w14:paraId="2985F53E" w14:textId="77777777" w:rsidR="00B2657C" w:rsidRDefault="00B26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53164679">
    <w:abstractNumId w:val="0"/>
  </w:num>
  <w:num w:numId="2" w16cid:durableId="1785806904">
    <w:abstractNumId w:val="1"/>
  </w:num>
  <w:num w:numId="3" w16cid:durableId="66887076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3B2C"/>
    <w:rsid w:val="000534A1"/>
    <w:rsid w:val="0006797A"/>
    <w:rsid w:val="000B4CAA"/>
    <w:rsid w:val="000E2911"/>
    <w:rsid w:val="000E600F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83CA3"/>
    <w:rsid w:val="00866EC3"/>
    <w:rsid w:val="00873DF0"/>
    <w:rsid w:val="008756E6"/>
    <w:rsid w:val="00897EC5"/>
    <w:rsid w:val="008A0763"/>
    <w:rsid w:val="008E5477"/>
    <w:rsid w:val="008F31EC"/>
    <w:rsid w:val="009B2D44"/>
    <w:rsid w:val="00A07E82"/>
    <w:rsid w:val="00A52075"/>
    <w:rsid w:val="00A9710C"/>
    <w:rsid w:val="00AE3E37"/>
    <w:rsid w:val="00B21A57"/>
    <w:rsid w:val="00B2657C"/>
    <w:rsid w:val="00BE6743"/>
    <w:rsid w:val="00C33602"/>
    <w:rsid w:val="00C56C74"/>
    <w:rsid w:val="00C6118D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3852A"/>
  <w15:docId w15:val="{1D33BEF7-F174-B04F-A1C8-FF623BF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F31EC"/>
    <w:pPr>
      <w:widowControl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3CA3"/>
    <w:pPr>
      <w:spacing w:before="100" w:beforeAutospacing="1" w:after="100" w:afterAutospacing="1"/>
    </w:pPr>
  </w:style>
  <w:style w:type="character" w:customStyle="1" w:styleId="mr1">
    <w:name w:val="mr1"/>
    <w:basedOn w:val="DefaultParagraphFont"/>
    <w:rsid w:val="00783CA3"/>
  </w:style>
  <w:style w:type="character" w:customStyle="1" w:styleId="visually-hidden">
    <w:name w:val="visually-hidden"/>
    <w:basedOn w:val="DefaultParagraphFont"/>
    <w:rsid w:val="00783CA3"/>
  </w:style>
  <w:style w:type="character" w:customStyle="1" w:styleId="t-14">
    <w:name w:val="t-14"/>
    <w:basedOn w:val="DefaultParagraphFont"/>
    <w:rsid w:val="00783CA3"/>
  </w:style>
  <w:style w:type="character" w:customStyle="1" w:styleId="u-visually-hidden">
    <w:name w:val="u-visually-hidden"/>
    <w:basedOn w:val="DefaultParagraphFont"/>
    <w:rsid w:val="00783CA3"/>
  </w:style>
  <w:style w:type="character" w:customStyle="1" w:styleId="hlfld-title">
    <w:name w:val="hlfld-title"/>
    <w:basedOn w:val="DefaultParagraphFont"/>
    <w:rsid w:val="008F31EC"/>
  </w:style>
  <w:style w:type="character" w:customStyle="1" w:styleId="cit-title">
    <w:name w:val="cit-title"/>
    <w:basedOn w:val="DefaultParagraphFont"/>
    <w:rsid w:val="008F31EC"/>
  </w:style>
  <w:style w:type="character" w:customStyle="1" w:styleId="cit-year-info">
    <w:name w:val="cit-year-info"/>
    <w:basedOn w:val="DefaultParagraphFont"/>
    <w:rsid w:val="008F31EC"/>
  </w:style>
  <w:style w:type="character" w:customStyle="1" w:styleId="cit-volume">
    <w:name w:val="cit-volume"/>
    <w:basedOn w:val="DefaultParagraphFont"/>
    <w:rsid w:val="008F31EC"/>
  </w:style>
  <w:style w:type="character" w:customStyle="1" w:styleId="cit-issue">
    <w:name w:val="cit-issue"/>
    <w:basedOn w:val="DefaultParagraphFont"/>
    <w:rsid w:val="008F31EC"/>
  </w:style>
  <w:style w:type="character" w:customStyle="1" w:styleId="cit-pagerange">
    <w:name w:val="cit-pagerange"/>
    <w:basedOn w:val="DefaultParagraphFont"/>
    <w:rsid w:val="008F31EC"/>
  </w:style>
  <w:style w:type="character" w:styleId="UnresolvedMention">
    <w:name w:val="Unresolved Mention"/>
    <w:basedOn w:val="DefaultParagraphFont"/>
    <w:uiPriority w:val="99"/>
    <w:semiHidden/>
    <w:unhideWhenUsed/>
    <w:rsid w:val="00C61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linkedin.com/in/teyu-ryan-chen-ph-d-mba-ms-candidate-3780a414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Ryan Chen</cp:lastModifiedBy>
  <cp:revision>2</cp:revision>
  <dcterms:created xsi:type="dcterms:W3CDTF">2022-08-22T13:46:00Z</dcterms:created>
  <dcterms:modified xsi:type="dcterms:W3CDTF">2022-08-22T13:46:00Z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