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b/>
          <w:sz w:val="24"/>
          <w:szCs w:val="24"/>
        </w:rPr>
        <w:t>Title:</w:t>
      </w:r>
      <w:r w:rsidRPr="0020393D">
        <w:rPr>
          <w:rFonts w:ascii="Times New Roman" w:hAnsi="Times New Roman" w:cs="Times New Roman"/>
          <w:sz w:val="24"/>
          <w:szCs w:val="24"/>
        </w:rPr>
        <w:t xml:space="preserve"> The Association Between Visual Impairment And cognitive decline</w:t>
      </w:r>
    </w:p>
    <w:p w:rsidR="0020393D" w:rsidRPr="0020393D" w:rsidRDefault="0020393D" w:rsidP="0020393D">
      <w:pPr>
        <w:jc w:val="both"/>
        <w:rPr>
          <w:rFonts w:ascii="Times New Roman" w:hAnsi="Times New Roman" w:cs="Times New Roman"/>
          <w:sz w:val="24"/>
          <w:szCs w:val="24"/>
        </w:rPr>
      </w:pPr>
      <w:bookmarkStart w:id="0" w:name="_GoBack"/>
      <w:r w:rsidRPr="0020393D">
        <w:rPr>
          <w:rFonts w:ascii="Times New Roman" w:hAnsi="Times New Roman" w:cs="Times New Roman"/>
          <w:sz w:val="24"/>
          <w:szCs w:val="24"/>
        </w:rPr>
        <w:t>Fatima Khalifa Mohamed Ahmed</w:t>
      </w:r>
    </w:p>
    <w:bookmarkEnd w:id="0"/>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Comenius University, Slovakia </w:t>
      </w:r>
    </w:p>
    <w:p w:rsidR="0020393D" w:rsidRPr="0020393D" w:rsidRDefault="0020393D" w:rsidP="0020393D">
      <w:pPr>
        <w:jc w:val="both"/>
        <w:rPr>
          <w:rFonts w:ascii="Times New Roman" w:hAnsi="Times New Roman" w:cs="Times New Roman"/>
          <w:b/>
          <w:sz w:val="24"/>
          <w:szCs w:val="24"/>
        </w:rPr>
      </w:pPr>
      <w:r w:rsidRPr="0020393D">
        <w:rPr>
          <w:rFonts w:ascii="Times New Roman" w:hAnsi="Times New Roman" w:cs="Times New Roman"/>
          <w:b/>
          <w:sz w:val="24"/>
          <w:szCs w:val="24"/>
        </w:rPr>
        <w:t>Abstract</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It has not yet been fully established that visual impairment is associated with cognitive decline in the elderly. As it is unclear whether the association is causal or direct, many cross-sectional studies have found a correlation between these two comorbidities, but some longitudinal studies have failed to find a direct relationship. Most of these studies were conducted in western and Asian countries. The hypothesis is that visual impairment or worsening decreases the stimulation of cognitive function, resulting in a decline in cognition and dementia.</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Establishing a clear understanding of the relationship between cognitive decline and impairment of vision may aid in developing strategies for early detection and management of risk factors, thereby reducing clinical and public burden while improving quality of life. In addition to the increased risk of physical injuries, social withdrawal, and depression associated with visual impairment, there is also a great risk of chronic comorbidities as a result of the physical inactivity. As the risk of developing cataract, age-related macular degeneration, and glaucoma increases with age, it is more common to see visual impairment and blindness in elderly people.</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In those studies snellen chart was used to assess the visual acuity, for assessing mental status or cognitive function different scales were used in different studies, as an example; the validated Short Portable Mental Status Questionnaire was used in the Singapore as well as in Taiwan studies, whereas the Mini-Mental State Examination (MMSE) was done in the Maryland, US study, other confounding variables are; age 65 years and older, sex, marital status, educational and social levels, BMI, presence of diabetes mellitus, hypertension and hyperlipidemia.</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The presence of visual impairment in elderly populations could adversely affect cognitive functioning in the future. </w:t>
      </w:r>
      <w:r w:rsidRPr="0020393D">
        <w:rPr>
          <w:rFonts w:ascii="Times New Roman" w:hAnsi="Times New Roman" w:cs="Times New Roman"/>
          <w:sz w:val="24"/>
          <w:szCs w:val="24"/>
        </w:rPr>
        <w:t>Preserving</w:t>
      </w:r>
      <w:r w:rsidRPr="0020393D">
        <w:rPr>
          <w:rFonts w:ascii="Times New Roman" w:hAnsi="Times New Roman" w:cs="Times New Roman"/>
          <w:sz w:val="24"/>
          <w:szCs w:val="24"/>
        </w:rPr>
        <w:t xml:space="preserve"> good vision may be an important interventional plan for reducing age-related cognitive decline.</w:t>
      </w:r>
    </w:p>
    <w:p w:rsidR="0020393D" w:rsidRDefault="0020393D" w:rsidP="0020393D">
      <w:pPr>
        <w:jc w:val="both"/>
      </w:pPr>
      <w:r w:rsidRPr="000A76AE">
        <w:rPr>
          <w:noProof/>
          <w:lang w:eastAsia="en-IN"/>
        </w:rPr>
        <w:lastRenderedPageBreak/>
        <w:drawing>
          <wp:inline distT="0" distB="0" distL="0" distR="0" wp14:anchorId="27EC5264" wp14:editId="30218F9C">
            <wp:extent cx="5731510" cy="3688970"/>
            <wp:effectExtent l="0" t="0" r="2540" b="698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5731510" cy="3688970"/>
                    </a:xfrm>
                    <a:prstGeom prst="rect">
                      <a:avLst/>
                    </a:prstGeom>
                  </pic:spPr>
                </pic:pic>
              </a:graphicData>
            </a:graphic>
          </wp:inline>
        </w:drawing>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Forest plot showing the relative risk of incident dementia in participants with and without vision impairment in prospective cohort studies. Central squares of each horizontal line represent the relative risk for each study. Horizontal lines indicate the range of the 95% confidence interval (CI), the vertical solid line indicates the relative risk of 1.0, and the vertical dash line indicates the pooled relative risk of included prospective cohort studies.</w:t>
      </w:r>
    </w:p>
    <w:p w:rsidR="0020393D" w:rsidRPr="0020393D" w:rsidRDefault="0020393D" w:rsidP="0020393D">
      <w:pPr>
        <w:jc w:val="both"/>
        <w:rPr>
          <w:rFonts w:ascii="Times New Roman" w:hAnsi="Times New Roman" w:cs="Times New Roman"/>
          <w:b/>
          <w:sz w:val="24"/>
          <w:szCs w:val="24"/>
        </w:rPr>
      </w:pPr>
      <w:r w:rsidRPr="0020393D">
        <w:rPr>
          <w:rFonts w:ascii="Times New Roman" w:hAnsi="Times New Roman" w:cs="Times New Roman"/>
          <w:b/>
          <w:sz w:val="24"/>
          <w:szCs w:val="24"/>
        </w:rPr>
        <w:t>References:</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Busse A, Sonntag A, Bischkopf J, Matschinger H, Angermeyer MC. (2002). Adaptation of dementia screening for vision-impaired older persons: administration of the Mini-Mental State Examination (MMSE). J Clin Epidemiol. 55(9):909-915.</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Bourne RRA, Flaxman SR, Braithwaite T, et al. (2017). Vision Loss Expert </w:t>
      </w:r>
      <w:r w:rsidRPr="0020393D">
        <w:rPr>
          <w:rFonts w:ascii="Times New Roman" w:hAnsi="Times New Roman" w:cs="Times New Roman"/>
          <w:sz w:val="24"/>
          <w:szCs w:val="24"/>
        </w:rPr>
        <w:t xml:space="preserve">Group. </w:t>
      </w:r>
      <w:r w:rsidRPr="0020393D">
        <w:rPr>
          <w:rFonts w:ascii="Times New Roman" w:hAnsi="Times New Roman" w:cs="Times New Roman"/>
          <w:sz w:val="24"/>
          <w:szCs w:val="24"/>
        </w:rPr>
        <w:t>Magnitude, temporal trends, and projections of the global prevalence of blindness and distance and near vision impairment: a systematic review and meta-analysis. Lancet Glob Health. 5(9)</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Brookmeyer R, Johnson E, Ziegler-Graham K, Arrighi HM. (2007).Forecasting the global burden of Alzheimer’s disease. Alzheimers Dement. 3(3):186-191.</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Cloutier, S., Chertkow, H., Kergoat, M. J., Gauthier, S. &amp; Belleville, S. (2015). Patterns of cognitive decline prior to dementia in persons with mild cognitive impairment. J. Alzheimers. Dis. 47, 901–913.</w:t>
      </w:r>
    </w:p>
    <w:p w:rsid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Clemons TE, Rankin MW, McBee WL. (2006). Age-Related E</w:t>
      </w:r>
      <w:r>
        <w:rPr>
          <w:rFonts w:ascii="Times New Roman" w:hAnsi="Times New Roman" w:cs="Times New Roman"/>
          <w:sz w:val="24"/>
          <w:szCs w:val="24"/>
        </w:rPr>
        <w:t>ye Disease Study Research Group</w:t>
      </w:r>
      <w:r w:rsidRPr="0020393D">
        <w:rPr>
          <w:rFonts w:ascii="Times New Roman" w:hAnsi="Times New Roman" w:cs="Times New Roman"/>
          <w:sz w:val="24"/>
          <w:szCs w:val="24"/>
        </w:rPr>
        <w:t>. Cognitive impairment in the Age-Related Eye Disease Study: AREDS report no. 16. Arch Ophthalmol. 124(4):537-543.</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lastRenderedPageBreak/>
        <w:t>Chen, S. P., Bhattacharya, J. &amp; Pershing, S. (2017). Association of vision loss with cognition in older adults. JAMA Ophthalmol. 135, 963–970.</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Flaxman, S. R. et al. (2017). Global causes of blindness and distance vision impairment 1990-2020: a systematic review and meta-analysis. Lancet Glob Health 5, e1221–e1234.</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Folstein MF, Folstein SE, McHugh PR. (1975). “Mini-mental state”: a practical method for grading the cognitive state of patients for the clinician. J Psychiatr Res. 12(3):189-198.</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Hu, H. Y. et al. (2015). Association between tooth loss, body mass index and all-cause mortality among elderly patients</w:t>
      </w:r>
      <w:r>
        <w:rPr>
          <w:rFonts w:ascii="Times New Roman" w:hAnsi="Times New Roman" w:cs="Times New Roman"/>
          <w:sz w:val="24"/>
          <w:szCs w:val="24"/>
        </w:rPr>
        <w:t xml:space="preserve"> in Taiwan. Medicine 94, e1543.</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Hong T, Mitchell P, Burlutsky G, Liew G, Wang JJ. (2016). Visual impairment, hearing loss and cognitive function in an older population: longitudinal findings from the Blue Mountains Eye Study. </w:t>
      </w:r>
      <w:proofErr w:type="gramStart"/>
      <w:r w:rsidRPr="0020393D">
        <w:rPr>
          <w:rFonts w:ascii="Times New Roman" w:hAnsi="Times New Roman" w:cs="Times New Roman"/>
          <w:sz w:val="24"/>
          <w:szCs w:val="24"/>
        </w:rPr>
        <w:t>PLoS One.</w:t>
      </w:r>
      <w:proofErr w:type="gramEnd"/>
      <w:r w:rsidRPr="0020393D">
        <w:rPr>
          <w:rFonts w:ascii="Times New Roman" w:hAnsi="Times New Roman" w:cs="Times New Roman"/>
          <w:sz w:val="24"/>
          <w:szCs w:val="24"/>
        </w:rPr>
        <w:t xml:space="preserve"> 11(1):e0147646.</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Laforge RG, Spector WD, Sternberg J. (1992).The relationship of vision and hearing-impairment to one-year mortality and functional decline. J Aging Health.4: 126–148.</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Malhotra, C. et al. (2013). Diagnostic performance of short portable mental status questionnaire for screening dementia among patients attending cognitive assessment clinics in Singapore. Ann. Acad. Med. Singap. 42, 315–319.</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Ong SY, Cheung CY, Li X, et al. (2012). Visual impairment, age-related eye diseases, and cognitive function: the Singapore Malay Eye study. Arch Ophthalmol. 130(7):895-900.</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Park SJ, Ahn S, Park KH. (2016). Burden of visual impairment and chronic diseases. JAMA Ophthalmol.134(7):778-784.</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Schakel, W. et al. (2018). The Economic Burden of Visual Impairment and comorbid Fatigue: A Cost-of-Illness Study (From a Societal Perspective). Invest. Ophthalmol. Vis. Sci. 59, 1916-1923</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Sue S. (2007) Sep. Test distance vision using a Snellen chart. Community Eye Health. 20(63):52</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Tay T, Wang JJ, Kifley A, Lindley R, Newall P, Mitchell P. (2006). Sensory and cognitive association in older persons: findings from an older Australian population. Gerontology. 52(6): 386-394.</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Van Gijn J, Gijselhart JP. (2012). Snellen and his optotypes. Ned Tijdschr Geneeskd. 156(16):A4416.</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Varma R, Vajaranant TS, Burkemper B, et al. (2016). Visual impairment and blindness in adults in the </w:t>
      </w:r>
      <w:r w:rsidRPr="0020393D">
        <w:rPr>
          <w:rFonts w:ascii="Times New Roman" w:hAnsi="Times New Roman" w:cs="Times New Roman"/>
          <w:sz w:val="24"/>
          <w:szCs w:val="24"/>
        </w:rPr>
        <w:t>United States</w:t>
      </w:r>
      <w:r w:rsidRPr="0020393D">
        <w:rPr>
          <w:rFonts w:ascii="Times New Roman" w:hAnsi="Times New Roman" w:cs="Times New Roman"/>
          <w:sz w:val="24"/>
          <w:szCs w:val="24"/>
        </w:rPr>
        <w:t>: demographic and geographic variations from 2015 to 2050. JAMA Ophthalmol. 134(7):802-809.</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lastRenderedPageBreak/>
        <w:t>Van Nispen, R. M., Vreeken, H. L., Comijs, H. C., Deeg, D. J. &amp; van Rens, G. H. (2016). Role of vision loss, functional limitations and the supporting network in depression in a general population. Acta Ophthalmol. 94, 76-82</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Wor</w:t>
      </w:r>
      <w:r>
        <w:rPr>
          <w:rFonts w:ascii="Times New Roman" w:hAnsi="Times New Roman" w:cs="Times New Roman"/>
          <w:sz w:val="24"/>
          <w:szCs w:val="24"/>
        </w:rPr>
        <w:t xml:space="preserve">ld Health Organization. (2001). </w:t>
      </w:r>
      <w:r w:rsidRPr="0020393D">
        <w:rPr>
          <w:rFonts w:ascii="Times New Roman" w:hAnsi="Times New Roman" w:cs="Times New Roman"/>
          <w:sz w:val="24"/>
          <w:szCs w:val="24"/>
        </w:rPr>
        <w:t>International Statistical Classification of Diseases and Related Health Problems. Gen</w:t>
      </w:r>
      <w:r>
        <w:rPr>
          <w:rFonts w:ascii="Times New Roman" w:hAnsi="Times New Roman" w:cs="Times New Roman"/>
          <w:sz w:val="24"/>
          <w:szCs w:val="24"/>
        </w:rPr>
        <w:t xml:space="preserve">eva: World Health Organization. World Health </w:t>
      </w:r>
      <w:r w:rsidRPr="0020393D">
        <w:rPr>
          <w:rFonts w:ascii="Times New Roman" w:hAnsi="Times New Roman" w:cs="Times New Roman"/>
          <w:sz w:val="24"/>
          <w:szCs w:val="24"/>
        </w:rPr>
        <w:t>Organization. (2021).10.14</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Wilson, R. S. et al. (2002). Participation in cognitively stimulating activities and risk of incident Alzheimer disease. JAMA 287, 742–748.</w:t>
      </w:r>
    </w:p>
    <w:p w:rsidR="0020393D"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 xml:space="preserve">Zheng DD, Swenor BK, Christ SL, West SK, Lam BL, Lee DJ. (2018). Longitudinal associations between visual impairment and cognitive functioning: the </w:t>
      </w:r>
      <w:r>
        <w:rPr>
          <w:rFonts w:ascii="Times New Roman" w:hAnsi="Times New Roman" w:cs="Times New Roman"/>
          <w:sz w:val="24"/>
          <w:szCs w:val="24"/>
        </w:rPr>
        <w:t xml:space="preserve">Salisbury Eye Evaluation Study. </w:t>
      </w:r>
      <w:r w:rsidRPr="0020393D">
        <w:rPr>
          <w:rFonts w:ascii="Times New Roman" w:hAnsi="Times New Roman" w:cs="Times New Roman"/>
          <w:sz w:val="24"/>
          <w:szCs w:val="24"/>
        </w:rPr>
        <w:t>JAMA Ophthalmol. 136(9):989-995.</w:t>
      </w:r>
    </w:p>
    <w:p w:rsidR="0020393D" w:rsidRPr="0020393D" w:rsidRDefault="0020393D" w:rsidP="0020393D">
      <w:pPr>
        <w:jc w:val="both"/>
        <w:rPr>
          <w:rFonts w:ascii="Times New Roman" w:hAnsi="Times New Roman" w:cs="Times New Roman"/>
          <w:b/>
          <w:noProof/>
          <w:sz w:val="24"/>
          <w:szCs w:val="24"/>
          <w:lang w:eastAsia="en-IN"/>
        </w:rPr>
      </w:pPr>
      <w:r w:rsidRPr="0020393D">
        <w:rPr>
          <w:rFonts w:ascii="Times New Roman" w:hAnsi="Times New Roman" w:cs="Times New Roman"/>
          <w:b/>
          <w:sz w:val="24"/>
          <w:szCs w:val="24"/>
        </w:rPr>
        <w:t>Biography:</w:t>
      </w:r>
      <w:r w:rsidRPr="0020393D">
        <w:rPr>
          <w:rFonts w:ascii="Times New Roman" w:hAnsi="Times New Roman" w:cs="Times New Roman"/>
          <w:b/>
          <w:noProof/>
          <w:sz w:val="24"/>
          <w:szCs w:val="24"/>
          <w:lang w:eastAsia="en-IN"/>
        </w:rPr>
        <w:t xml:space="preserve"> </w:t>
      </w:r>
    </w:p>
    <w:p w:rsidR="0020393D" w:rsidRDefault="0020393D" w:rsidP="0020393D">
      <w:pPr>
        <w:jc w:val="both"/>
      </w:pPr>
      <w:r>
        <w:rPr>
          <w:b/>
          <w:noProof/>
          <w:lang w:eastAsia="en-IN"/>
        </w:rPr>
        <w:drawing>
          <wp:inline distT="0" distB="0" distL="0" distR="0" wp14:anchorId="128F1FE1" wp14:editId="17C6A3CD">
            <wp:extent cx="898497" cy="970060"/>
            <wp:effectExtent l="0" t="0" r="0" b="1905"/>
            <wp:docPr id="2" name="Picture 2" descr="C:\Users\europediatrics-2021\Desktop\Fat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pediatrics-2021\Desktop\Fatim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8617" cy="970190"/>
                    </a:xfrm>
                    <a:prstGeom prst="rect">
                      <a:avLst/>
                    </a:prstGeom>
                    <a:noFill/>
                    <a:ln>
                      <a:noFill/>
                    </a:ln>
                  </pic:spPr>
                </pic:pic>
              </a:graphicData>
            </a:graphic>
          </wp:inline>
        </w:drawing>
      </w:r>
    </w:p>
    <w:p w:rsidR="00A31014" w:rsidRPr="0020393D" w:rsidRDefault="0020393D" w:rsidP="0020393D">
      <w:pPr>
        <w:jc w:val="both"/>
        <w:rPr>
          <w:rFonts w:ascii="Times New Roman" w:hAnsi="Times New Roman" w:cs="Times New Roman"/>
          <w:sz w:val="24"/>
          <w:szCs w:val="24"/>
        </w:rPr>
      </w:pPr>
      <w:r w:rsidRPr="0020393D">
        <w:rPr>
          <w:rFonts w:ascii="Times New Roman" w:hAnsi="Times New Roman" w:cs="Times New Roman"/>
          <w:sz w:val="24"/>
          <w:szCs w:val="24"/>
        </w:rPr>
        <w:t>Fatima Khalifa Ahmed born and raised in Rabat, Morocco to a Libyan parents. Bachelor degree in medicine in Comenius University in Bratislava, Slovakia, Postgraduate internship year in Cairo university hospitals in Egypt, Completed a course in leading healthcare quality and safety offered by The George Washington University, as she is interested in taking actions into improving the quality and safety of healthcare systems Pursuing ophthalmology as a career of choice as it combines her passion in science and research with the clinical and surgical division of medicine Passionate about discovering different cultures and learning new languages (Currently learning Italian) Arabic, English German and Slovak are among the language spoken.</w:t>
      </w:r>
    </w:p>
    <w:sectPr w:rsidR="00A31014" w:rsidRPr="002039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93D"/>
    <w:rsid w:val="0020393D"/>
    <w:rsid w:val="00A310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3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9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3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9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1123</Words>
  <Characters>6407</Characters>
  <Application>Microsoft Office Word</Application>
  <DocSecurity>0</DocSecurity>
  <Lines>53</Lines>
  <Paragraphs>15</Paragraphs>
  <ScaleCrop>false</ScaleCrop>
  <Company/>
  <LinksUpToDate>false</LinksUpToDate>
  <CharactersWithSpaces>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1</cp:revision>
  <dcterms:created xsi:type="dcterms:W3CDTF">2022-09-07T05:07:00Z</dcterms:created>
  <dcterms:modified xsi:type="dcterms:W3CDTF">2022-09-07T05:24:00Z</dcterms:modified>
</cp:coreProperties>
</file>