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50C4A" w14:textId="597C68D1" w:rsidR="00AE3E37" w:rsidRDefault="00B07358" w:rsidP="00B07358">
      <w:pPr>
        <w:pStyle w:val="Heading1"/>
        <w:spacing w:before="170"/>
        <w:jc w:val="both"/>
      </w:pPr>
      <w:bookmarkStart w:id="0" w:name="_Hlk112094537"/>
      <w:bookmarkEnd w:id="0"/>
      <w:r w:rsidRPr="00B07358">
        <w:rPr>
          <w:color w:val="337AB7"/>
        </w:rPr>
        <w:t xml:space="preserve">Influence of Local Injection of Platelet Rich Fibrin and </w:t>
      </w:r>
      <w:proofErr w:type="spellStart"/>
      <w:r w:rsidRPr="00B07358">
        <w:rPr>
          <w:color w:val="337AB7"/>
        </w:rPr>
        <w:t>Osteoprotegerin</w:t>
      </w:r>
      <w:proofErr w:type="spellEnd"/>
      <w:r w:rsidRPr="00B07358">
        <w:rPr>
          <w:color w:val="337AB7"/>
        </w:rPr>
        <w:t xml:space="preserve"> on Orthodontic Relapse</w:t>
      </w:r>
      <w:r>
        <w:rPr>
          <w:color w:val="337AB7"/>
        </w:rPr>
        <w:t xml:space="preserve"> </w:t>
      </w:r>
      <w:r w:rsidRPr="00B07358">
        <w:rPr>
          <w:color w:val="337AB7"/>
        </w:rPr>
        <w:t>in a Rabbit Model</w:t>
      </w:r>
    </w:p>
    <w:p w14:paraId="03ECC1CC" w14:textId="77777777" w:rsidR="0081229B" w:rsidRPr="0081229B" w:rsidRDefault="00B07358" w:rsidP="0081229B">
      <w:pPr>
        <w:pStyle w:val="BodyText"/>
        <w:spacing w:before="73" w:line="198" w:lineRule="exact"/>
        <w:ind w:left="100" w:right="-20"/>
        <w:rPr>
          <w:rFonts w:ascii="Arial"/>
          <w:sz w:val="14"/>
          <w:szCs w:val="14"/>
        </w:rPr>
      </w:pPr>
      <w:r w:rsidRPr="0081229B">
        <w:rPr>
          <w:rFonts w:ascii="Arial"/>
          <w:sz w:val="14"/>
          <w:szCs w:val="14"/>
        </w:rPr>
        <w:t>Hakam H. Al</w:t>
      </w:r>
      <w:r w:rsidRPr="0081229B">
        <w:rPr>
          <w:rFonts w:ascii="Cambria Math" w:hAnsi="Cambria Math" w:cs="Cambria Math"/>
          <w:sz w:val="14"/>
          <w:szCs w:val="14"/>
        </w:rPr>
        <w:t>‑</w:t>
      </w:r>
      <w:proofErr w:type="spellStart"/>
      <w:r w:rsidRPr="0081229B">
        <w:rPr>
          <w:rFonts w:ascii="Arial"/>
          <w:sz w:val="14"/>
          <w:szCs w:val="14"/>
        </w:rPr>
        <w:t>Fakhry</w:t>
      </w:r>
      <w:proofErr w:type="spellEnd"/>
      <w:r w:rsidRPr="0081229B">
        <w:rPr>
          <w:rFonts w:ascii="Arial"/>
          <w:sz w:val="14"/>
          <w:szCs w:val="14"/>
        </w:rPr>
        <w:t>,</w:t>
      </w:r>
      <w:r w:rsidR="005973B9" w:rsidRPr="0081229B">
        <w:rPr>
          <w:rFonts w:ascii="Arial"/>
          <w:sz w:val="14"/>
          <w:szCs w:val="14"/>
        </w:rPr>
        <w:t xml:space="preserve"> </w:t>
      </w:r>
      <w:bookmarkStart w:id="1" w:name="_Hlk112092363"/>
      <w:r w:rsidR="006649EB" w:rsidRPr="0081229B">
        <w:rPr>
          <w:rFonts w:ascii="Arial"/>
          <w:sz w:val="14"/>
          <w:szCs w:val="14"/>
        </w:rPr>
        <w:t>Master</w:t>
      </w:r>
      <w:r w:rsidR="006649EB" w:rsidRPr="0081229B">
        <w:rPr>
          <w:rFonts w:ascii="Arial"/>
          <w:sz w:val="14"/>
          <w:szCs w:val="14"/>
        </w:rPr>
        <w:t>’</w:t>
      </w:r>
      <w:r w:rsidR="006649EB" w:rsidRPr="0081229B">
        <w:rPr>
          <w:rFonts w:ascii="Arial"/>
          <w:sz w:val="14"/>
          <w:szCs w:val="14"/>
        </w:rPr>
        <w:t xml:space="preserve">s degree in Orthodontics, </w:t>
      </w:r>
      <w:r w:rsidR="005973B9" w:rsidRPr="0081229B">
        <w:rPr>
          <w:rFonts w:ascii="Arial"/>
          <w:sz w:val="14"/>
          <w:szCs w:val="14"/>
        </w:rPr>
        <w:t>PhD</w:t>
      </w:r>
      <w:r w:rsidR="006649EB" w:rsidRPr="0081229B">
        <w:rPr>
          <w:rFonts w:ascii="Arial"/>
          <w:sz w:val="14"/>
          <w:szCs w:val="14"/>
        </w:rPr>
        <w:t xml:space="preserve"> (General dentistry)</w:t>
      </w:r>
      <w:r w:rsidR="005973B9" w:rsidRPr="0081229B">
        <w:rPr>
          <w:rFonts w:ascii="Arial"/>
          <w:sz w:val="14"/>
          <w:szCs w:val="14"/>
        </w:rPr>
        <w:t xml:space="preserve">, </w:t>
      </w:r>
      <w:bookmarkStart w:id="2" w:name="_Hlk112095165"/>
      <w:r w:rsidR="006649EB" w:rsidRPr="0081229B">
        <w:rPr>
          <w:rFonts w:ascii="Arial"/>
          <w:sz w:val="14"/>
          <w:szCs w:val="14"/>
        </w:rPr>
        <w:t>Department of Orthodontics, Collage of Dentistry, University of Mosul, Iraq</w:t>
      </w:r>
      <w:r w:rsidR="005973B9" w:rsidRPr="0081229B">
        <w:rPr>
          <w:rFonts w:ascii="Arial"/>
          <w:sz w:val="14"/>
          <w:szCs w:val="14"/>
        </w:rPr>
        <w:t xml:space="preserve">, </w:t>
      </w:r>
      <w:r w:rsidRPr="0081229B">
        <w:rPr>
          <w:rFonts w:ascii="Arial"/>
          <w:sz w:val="14"/>
          <w:szCs w:val="14"/>
        </w:rPr>
        <w:t xml:space="preserve">IRAQ </w:t>
      </w:r>
      <w:bookmarkEnd w:id="1"/>
      <w:bookmarkEnd w:id="2"/>
    </w:p>
    <w:p w14:paraId="2B5554F7" w14:textId="22E34578" w:rsidR="005973B9" w:rsidRPr="0081229B" w:rsidRDefault="004458DD" w:rsidP="0081229B">
      <w:pPr>
        <w:pStyle w:val="BodyText"/>
        <w:spacing w:before="73" w:line="198" w:lineRule="exact"/>
        <w:ind w:left="100" w:right="-20"/>
        <w:rPr>
          <w:rFonts w:ascii="Arial"/>
          <w:sz w:val="14"/>
          <w:szCs w:val="14"/>
        </w:rPr>
      </w:pPr>
      <w:r w:rsidRPr="0081229B">
        <w:rPr>
          <w:rFonts w:ascii="Arial"/>
          <w:sz w:val="14"/>
          <w:szCs w:val="14"/>
        </w:rPr>
        <w:t>Nada M. Al</w:t>
      </w:r>
      <w:r w:rsidRPr="0081229B">
        <w:rPr>
          <w:rFonts w:ascii="Cambria Math" w:hAnsi="Cambria Math" w:cs="Cambria Math"/>
          <w:sz w:val="14"/>
          <w:szCs w:val="14"/>
        </w:rPr>
        <w:t>‑</w:t>
      </w:r>
      <w:proofErr w:type="spellStart"/>
      <w:r w:rsidRPr="0081229B">
        <w:rPr>
          <w:rFonts w:ascii="Arial"/>
          <w:sz w:val="14"/>
          <w:szCs w:val="14"/>
        </w:rPr>
        <w:t>Sayagh</w:t>
      </w:r>
      <w:proofErr w:type="spellEnd"/>
      <w:r w:rsidR="005973B9" w:rsidRPr="0081229B">
        <w:rPr>
          <w:rFonts w:ascii="Arial"/>
          <w:sz w:val="14"/>
          <w:szCs w:val="14"/>
        </w:rPr>
        <w:t xml:space="preserve">, </w:t>
      </w:r>
      <w:r w:rsidR="006649EB" w:rsidRPr="0081229B">
        <w:rPr>
          <w:rFonts w:ascii="Arial"/>
          <w:sz w:val="14"/>
          <w:szCs w:val="14"/>
        </w:rPr>
        <w:t>Master</w:t>
      </w:r>
      <w:r w:rsidR="006649EB" w:rsidRPr="0081229B">
        <w:rPr>
          <w:rFonts w:ascii="Arial"/>
          <w:sz w:val="14"/>
          <w:szCs w:val="14"/>
        </w:rPr>
        <w:t>’</w:t>
      </w:r>
      <w:r w:rsidR="006649EB" w:rsidRPr="0081229B">
        <w:rPr>
          <w:rFonts w:ascii="Arial"/>
          <w:sz w:val="14"/>
          <w:szCs w:val="14"/>
        </w:rPr>
        <w:t>s degree in Orthodontics, PhD (General dentistry), Department of Orthodontics, Collage of Dentistry, University of Mosul, Iraq, IRAQ</w:t>
      </w:r>
    </w:p>
    <w:p w14:paraId="03A958A8" w14:textId="77777777" w:rsidR="00AE3E37" w:rsidRDefault="00AE3E37">
      <w:pPr>
        <w:pStyle w:val="BodyText"/>
        <w:rPr>
          <w:rFonts w:ascii="Arial"/>
          <w:sz w:val="20"/>
        </w:rPr>
      </w:pPr>
    </w:p>
    <w:p w14:paraId="12BADF1B"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60DB985" w14:textId="77777777" w:rsidR="00AE3E37" w:rsidRDefault="00A9710C">
      <w:pPr>
        <w:pStyle w:val="Heading3"/>
        <w:spacing w:before="147"/>
        <w:jc w:val="both"/>
      </w:pPr>
      <w:r>
        <w:rPr>
          <w:color w:val="BF5A14"/>
        </w:rPr>
        <w:t>Abstract</w:t>
      </w:r>
      <w:r w:rsidR="00404E5B">
        <w:rPr>
          <w:color w:val="BF5A14"/>
        </w:rPr>
        <w:t xml:space="preserve"> (300 word limit)</w:t>
      </w:r>
    </w:p>
    <w:p w14:paraId="5A5A97FB" w14:textId="6671AE9F" w:rsidR="00AE3E37" w:rsidRDefault="0081229B" w:rsidP="0081229B">
      <w:pPr>
        <w:pStyle w:val="Heading3"/>
        <w:spacing w:before="74"/>
        <w:jc w:val="both"/>
      </w:pPr>
      <w:r w:rsidRPr="0081229B">
        <w:rPr>
          <w:rFonts w:ascii="Tw Cen MT" w:eastAsia="Tw Cen MT" w:hAnsi="Tw Cen MT" w:cs="Tw Cen MT"/>
          <w:sz w:val="16"/>
          <w:szCs w:val="16"/>
        </w:rPr>
        <w:t>Introduction:</w:t>
      </w:r>
      <w:r w:rsidRPr="0081229B">
        <w:rPr>
          <w:rFonts w:ascii="Tw Cen MT" w:eastAsia="Tw Cen MT" w:hAnsi="Tw Cen MT" w:cs="Tw Cen MT"/>
          <w:b w:val="0"/>
          <w:bCs w:val="0"/>
          <w:sz w:val="16"/>
          <w:szCs w:val="16"/>
        </w:rPr>
        <w:t xml:space="preserve"> Relapse in orthodontic treatment remains a challenging and undesirable consequence of orthodontic treatment, Hence, a variety of biomedical agents, methods, and techniques have been investigated to reduce post-orthodontic relapse.   </w:t>
      </w:r>
      <w:r w:rsidRPr="0081229B">
        <w:rPr>
          <w:rFonts w:ascii="Tw Cen MT" w:eastAsia="Tw Cen MT" w:hAnsi="Tw Cen MT" w:cs="Tw Cen MT"/>
          <w:sz w:val="16"/>
          <w:szCs w:val="16"/>
        </w:rPr>
        <w:t>Aims:</w:t>
      </w:r>
      <w:r w:rsidRPr="0081229B">
        <w:rPr>
          <w:rFonts w:ascii="Tw Cen MT" w:eastAsia="Tw Cen MT" w:hAnsi="Tw Cen MT" w:cs="Tw Cen MT"/>
          <w:b w:val="0"/>
          <w:bCs w:val="0"/>
          <w:sz w:val="16"/>
          <w:szCs w:val="16"/>
        </w:rPr>
        <w:t xml:space="preserve"> This study sought to determine whether the local injection of injectable platelet rich Fibrin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 xml:space="preserve">-PRF) or recombinant </w:t>
      </w:r>
      <w:proofErr w:type="spellStart"/>
      <w:r w:rsidRPr="0081229B">
        <w:rPr>
          <w:rFonts w:ascii="Tw Cen MT" w:eastAsia="Tw Cen MT" w:hAnsi="Tw Cen MT" w:cs="Tw Cen MT"/>
          <w:b w:val="0"/>
          <w:bCs w:val="0"/>
          <w:sz w:val="16"/>
          <w:szCs w:val="16"/>
        </w:rPr>
        <w:t>osteoprotegerin</w:t>
      </w:r>
      <w:proofErr w:type="spellEnd"/>
      <w:r w:rsidRPr="0081229B">
        <w:rPr>
          <w:rFonts w:ascii="Tw Cen MT" w:eastAsia="Tw Cen MT" w:hAnsi="Tw Cen MT" w:cs="Tw Cen MT"/>
          <w:b w:val="0"/>
          <w:bCs w:val="0"/>
          <w:sz w:val="16"/>
          <w:szCs w:val="16"/>
        </w:rPr>
        <w:t xml:space="preserve"> (OPG-FC) could reduce orthodontic relapse by increasing bone density. It is also intended to further investigate the role of periodontal ligament and alveolar bone remodeling in rabbits and how they interplay during relapse. </w:t>
      </w:r>
      <w:r w:rsidRPr="00F40720">
        <w:rPr>
          <w:rFonts w:ascii="Tw Cen MT" w:eastAsia="Tw Cen MT" w:hAnsi="Tw Cen MT" w:cs="Tw Cen MT"/>
          <w:sz w:val="16"/>
          <w:szCs w:val="16"/>
        </w:rPr>
        <w:t>Materials and Methods:</w:t>
      </w:r>
      <w:r w:rsidRPr="0081229B">
        <w:rPr>
          <w:rFonts w:ascii="Tw Cen MT" w:eastAsia="Tw Cen MT" w:hAnsi="Tw Cen MT" w:cs="Tw Cen MT"/>
          <w:b w:val="0"/>
          <w:bCs w:val="0"/>
          <w:sz w:val="16"/>
          <w:szCs w:val="16"/>
        </w:rPr>
        <w:t xml:space="preserve"> Sixty-five adult male albino rabbits were randomly divided into 5 groups. Group I served as the base line group (control -</w:t>
      </w:r>
      <w:proofErr w:type="spellStart"/>
      <w:r w:rsidRPr="0081229B">
        <w:rPr>
          <w:rFonts w:ascii="Tw Cen MT" w:eastAsia="Tw Cen MT" w:hAnsi="Tw Cen MT" w:cs="Tw Cen MT"/>
          <w:b w:val="0"/>
          <w:bCs w:val="0"/>
          <w:sz w:val="16"/>
          <w:szCs w:val="16"/>
        </w:rPr>
        <w:t>ve</w:t>
      </w:r>
      <w:proofErr w:type="spellEnd"/>
      <w:r w:rsidRPr="0081229B">
        <w:rPr>
          <w:rFonts w:ascii="Tw Cen MT" w:eastAsia="Tw Cen MT" w:hAnsi="Tw Cen MT" w:cs="Tw Cen MT"/>
          <w:b w:val="0"/>
          <w:bCs w:val="0"/>
          <w:sz w:val="16"/>
          <w:szCs w:val="16"/>
        </w:rPr>
        <w:t xml:space="preserve">) of 5 rabbits, and four experimental groups of 15 rabbits each including, group II (control + </w:t>
      </w:r>
      <w:proofErr w:type="spellStart"/>
      <w:r w:rsidRPr="0081229B">
        <w:rPr>
          <w:rFonts w:ascii="Tw Cen MT" w:eastAsia="Tw Cen MT" w:hAnsi="Tw Cen MT" w:cs="Tw Cen MT"/>
          <w:b w:val="0"/>
          <w:bCs w:val="0"/>
          <w:sz w:val="16"/>
          <w:szCs w:val="16"/>
        </w:rPr>
        <w:t>ve</w:t>
      </w:r>
      <w:proofErr w:type="spellEnd"/>
      <w:r w:rsidRPr="0081229B">
        <w:rPr>
          <w:rFonts w:ascii="Tw Cen MT" w:eastAsia="Tw Cen MT" w:hAnsi="Tw Cen MT" w:cs="Tw Cen MT"/>
          <w:b w:val="0"/>
          <w:bCs w:val="0"/>
          <w:sz w:val="16"/>
          <w:szCs w:val="16"/>
        </w:rPr>
        <w:t xml:space="preserve">), which served as the appliance control group and was injected with a 200 </w:t>
      </w:r>
      <w:proofErr w:type="spellStart"/>
      <w:r w:rsidRPr="0081229B">
        <w:rPr>
          <w:rFonts w:ascii="Calibri" w:eastAsia="Tw Cen MT" w:hAnsi="Calibri" w:cs="Calibri"/>
          <w:b w:val="0"/>
          <w:bCs w:val="0"/>
          <w:sz w:val="16"/>
          <w:szCs w:val="16"/>
        </w:rPr>
        <w:t>μ</w:t>
      </w:r>
      <w:r w:rsidRPr="0081229B">
        <w:rPr>
          <w:rFonts w:ascii="Tw Cen MT" w:eastAsia="Tw Cen MT" w:hAnsi="Tw Cen MT" w:cs="Tw Cen MT"/>
          <w:b w:val="0"/>
          <w:bCs w:val="0"/>
          <w:sz w:val="16"/>
          <w:szCs w:val="16"/>
        </w:rPr>
        <w:t>l</w:t>
      </w:r>
      <w:proofErr w:type="spellEnd"/>
      <w:r w:rsidRPr="0081229B">
        <w:rPr>
          <w:rFonts w:ascii="Tw Cen MT" w:eastAsia="Tw Cen MT" w:hAnsi="Tw Cen MT" w:cs="Tw Cen MT"/>
          <w:b w:val="0"/>
          <w:bCs w:val="0"/>
          <w:sz w:val="16"/>
          <w:szCs w:val="16"/>
        </w:rPr>
        <w:t xml:space="preserve"> of phosphate-buffered saline (PBS), group III, which was injected with 200 </w:t>
      </w:r>
      <w:proofErr w:type="spellStart"/>
      <w:r w:rsidRPr="0081229B">
        <w:rPr>
          <w:rFonts w:ascii="Calibri" w:eastAsia="Tw Cen MT" w:hAnsi="Calibri" w:cs="Calibri"/>
          <w:b w:val="0"/>
          <w:bCs w:val="0"/>
          <w:sz w:val="16"/>
          <w:szCs w:val="16"/>
        </w:rPr>
        <w:t>μ</w:t>
      </w:r>
      <w:r w:rsidRPr="0081229B">
        <w:rPr>
          <w:rFonts w:ascii="Tw Cen MT" w:eastAsia="Tw Cen MT" w:hAnsi="Tw Cen MT" w:cs="Tw Cen MT"/>
          <w:b w:val="0"/>
          <w:bCs w:val="0"/>
          <w:sz w:val="16"/>
          <w:szCs w:val="16"/>
        </w:rPr>
        <w:t>l</w:t>
      </w:r>
      <w:proofErr w:type="spellEnd"/>
      <w:r w:rsidRPr="0081229B">
        <w:rPr>
          <w:rFonts w:ascii="Tw Cen MT" w:eastAsia="Tw Cen MT" w:hAnsi="Tw Cen MT" w:cs="Tw Cen MT"/>
          <w:b w:val="0"/>
          <w:bCs w:val="0"/>
          <w:sz w:val="16"/>
          <w:szCs w:val="16"/>
        </w:rPr>
        <w:t xml:space="preserve"> of injectable platelet rich fibrin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 xml:space="preserve">-PRF), group IV, which was injected with 400 </w:t>
      </w:r>
      <w:proofErr w:type="spellStart"/>
      <w:r w:rsidRPr="0081229B">
        <w:rPr>
          <w:rFonts w:ascii="Calibri" w:eastAsia="Tw Cen MT" w:hAnsi="Calibri" w:cs="Calibri"/>
          <w:b w:val="0"/>
          <w:bCs w:val="0"/>
          <w:sz w:val="16"/>
          <w:szCs w:val="16"/>
        </w:rPr>
        <w:t>μ</w:t>
      </w:r>
      <w:r w:rsidRPr="0081229B">
        <w:rPr>
          <w:rFonts w:ascii="Tw Cen MT" w:eastAsia="Tw Cen MT" w:hAnsi="Tw Cen MT" w:cs="Tw Cen MT"/>
          <w:b w:val="0"/>
          <w:bCs w:val="0"/>
          <w:sz w:val="16"/>
          <w:szCs w:val="16"/>
        </w:rPr>
        <w:t>l</w:t>
      </w:r>
      <w:proofErr w:type="spellEnd"/>
      <w:r w:rsidRPr="0081229B">
        <w:rPr>
          <w:rFonts w:ascii="Tw Cen MT" w:eastAsia="Tw Cen MT" w:hAnsi="Tw Cen MT" w:cs="Tw Cen MT"/>
          <w:b w:val="0"/>
          <w:bCs w:val="0"/>
          <w:sz w:val="16"/>
          <w:szCs w:val="16"/>
        </w:rPr>
        <w:t xml:space="preserve"> of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 xml:space="preserve">-PRF and group V, which was injected with a 200 </w:t>
      </w:r>
      <w:proofErr w:type="spellStart"/>
      <w:r w:rsidRPr="0081229B">
        <w:rPr>
          <w:rFonts w:ascii="Calibri" w:eastAsia="Tw Cen MT" w:hAnsi="Calibri" w:cs="Calibri"/>
          <w:b w:val="0"/>
          <w:bCs w:val="0"/>
          <w:sz w:val="16"/>
          <w:szCs w:val="16"/>
        </w:rPr>
        <w:t>μ</w:t>
      </w:r>
      <w:r w:rsidRPr="0081229B">
        <w:rPr>
          <w:rFonts w:ascii="Tw Cen MT" w:eastAsia="Tw Cen MT" w:hAnsi="Tw Cen MT" w:cs="Tw Cen MT"/>
          <w:b w:val="0"/>
          <w:bCs w:val="0"/>
          <w:sz w:val="16"/>
          <w:szCs w:val="16"/>
        </w:rPr>
        <w:t>l</w:t>
      </w:r>
      <w:proofErr w:type="spellEnd"/>
      <w:r w:rsidRPr="0081229B">
        <w:rPr>
          <w:rFonts w:ascii="Tw Cen MT" w:eastAsia="Tw Cen MT" w:hAnsi="Tw Cen MT" w:cs="Tw Cen MT"/>
          <w:b w:val="0"/>
          <w:bCs w:val="0"/>
          <w:sz w:val="16"/>
          <w:szCs w:val="16"/>
        </w:rPr>
        <w:t xml:space="preserve"> </w:t>
      </w:r>
      <w:proofErr w:type="spellStart"/>
      <w:r w:rsidRPr="0081229B">
        <w:rPr>
          <w:rFonts w:ascii="Tw Cen MT" w:eastAsia="Tw Cen MT" w:hAnsi="Tw Cen MT" w:cs="Tw Cen MT"/>
          <w:b w:val="0"/>
          <w:bCs w:val="0"/>
          <w:sz w:val="16"/>
          <w:szCs w:val="16"/>
        </w:rPr>
        <w:t>Osteoprotegerin</w:t>
      </w:r>
      <w:proofErr w:type="spellEnd"/>
      <w:r w:rsidRPr="0081229B">
        <w:rPr>
          <w:rFonts w:ascii="Tw Cen MT" w:eastAsia="Tw Cen MT" w:hAnsi="Tw Cen MT" w:cs="Tw Cen MT"/>
          <w:b w:val="0"/>
          <w:bCs w:val="0"/>
          <w:sz w:val="16"/>
          <w:szCs w:val="16"/>
        </w:rPr>
        <w:t xml:space="preserve">-Fc (OPG-FC). Furthermore, each experimental group was subdivided into three subgroups of 5 rabbits each according to time of sacrifice (0, 10, and 20 days). For all experimental groups, the lower incisors of rabbits were moved distally by a modified orthodontic appliance with nickel-titanium open coil springs for 2 weeks, and then the appliance was maintained in position to retain the gained space for 2 weeks. During the retention period, each group was injected with its specific drug every 7 days. After the retention period, teeth are allowed to relapse. The results were evaluated by measuring the amount of relapse by direct measurement with a digital vernier. </w:t>
      </w:r>
      <w:r w:rsidRPr="00F40720">
        <w:rPr>
          <w:rFonts w:ascii="Tw Cen MT" w:eastAsia="Tw Cen MT" w:hAnsi="Tw Cen MT" w:cs="Tw Cen MT"/>
          <w:sz w:val="16"/>
          <w:szCs w:val="16"/>
        </w:rPr>
        <w:t>Results:</w:t>
      </w:r>
      <w:r w:rsidRPr="0081229B">
        <w:rPr>
          <w:rFonts w:ascii="Tw Cen MT" w:eastAsia="Tw Cen MT" w:hAnsi="Tw Cen MT" w:cs="Tw Cen MT"/>
          <w:b w:val="0"/>
          <w:bCs w:val="0"/>
          <w:sz w:val="16"/>
          <w:szCs w:val="16"/>
        </w:rPr>
        <w:t xml:space="preserve"> Relapse distance (RD) for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 xml:space="preserve">-PRF groups and OPG-Fc group showed a significant decrease at 10, 13, 17, and 20 days compared to the control group. At the same time, the OPG-FC group had a significantly higher RD than the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-PRF groups at days 17 and 20 in the upper region. Histologically,</w:t>
      </w:r>
      <w:r w:rsidR="00F40720">
        <w:rPr>
          <w:rFonts w:ascii="Tw Cen MT" w:eastAsia="Tw Cen MT" w:hAnsi="Tw Cen MT" w:cs="Tw Cen MT"/>
          <w:b w:val="0"/>
          <w:bCs w:val="0"/>
          <w:sz w:val="16"/>
          <w:szCs w:val="16"/>
        </w:rPr>
        <w:t xml:space="preserve"> t</w:t>
      </w:r>
      <w:r w:rsidRPr="0081229B">
        <w:rPr>
          <w:rFonts w:ascii="Tw Cen MT" w:eastAsia="Tw Cen MT" w:hAnsi="Tw Cen MT" w:cs="Tw Cen MT"/>
          <w:b w:val="0"/>
          <w:bCs w:val="0"/>
          <w:sz w:val="16"/>
          <w:szCs w:val="16"/>
        </w:rPr>
        <w:t xml:space="preserve">he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 xml:space="preserve">-PRF groups in the cervical region had a significantly narrower PDL width, higher percentage of NBA, higher </w:t>
      </w:r>
      <w:proofErr w:type="spellStart"/>
      <w:r w:rsidRPr="0081229B">
        <w:rPr>
          <w:rFonts w:ascii="Tw Cen MT" w:eastAsia="Tw Cen MT" w:hAnsi="Tw Cen MT" w:cs="Tw Cen MT"/>
          <w:b w:val="0"/>
          <w:bCs w:val="0"/>
          <w:sz w:val="16"/>
          <w:szCs w:val="16"/>
        </w:rPr>
        <w:t>Ob.N</w:t>
      </w:r>
      <w:proofErr w:type="spellEnd"/>
      <w:r w:rsidRPr="0081229B">
        <w:rPr>
          <w:rFonts w:ascii="Tw Cen MT" w:eastAsia="Tw Cen MT" w:hAnsi="Tw Cen MT" w:cs="Tw Cen MT"/>
          <w:b w:val="0"/>
          <w:bCs w:val="0"/>
          <w:sz w:val="16"/>
          <w:szCs w:val="16"/>
        </w:rPr>
        <w:t xml:space="preserve"> and blood vessels than groups II and V at 0 day. </w:t>
      </w:r>
      <w:r w:rsidRPr="00F40720">
        <w:rPr>
          <w:rFonts w:ascii="Tw Cen MT" w:eastAsia="Tw Cen MT" w:hAnsi="Tw Cen MT" w:cs="Tw Cen MT"/>
          <w:sz w:val="16"/>
          <w:szCs w:val="16"/>
        </w:rPr>
        <w:t>Conclusions:</w:t>
      </w:r>
      <w:r w:rsidRPr="0081229B">
        <w:rPr>
          <w:rFonts w:ascii="Tw Cen MT" w:eastAsia="Tw Cen MT" w:hAnsi="Tw Cen MT" w:cs="Tw Cen MT"/>
          <w:b w:val="0"/>
          <w:bCs w:val="0"/>
          <w:sz w:val="16"/>
          <w:szCs w:val="16"/>
        </w:rPr>
        <w:t xml:space="preserve"> Findings imply that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 xml:space="preserve">-PRF and OPG-FC have the potential to improve tooth stability following orthodontic tooth movement, most likely by increasing alveolar bone density and inhibiting alveolar bone resorption. Also, </w:t>
      </w:r>
      <w:proofErr w:type="spellStart"/>
      <w:r w:rsidRPr="0081229B">
        <w:rPr>
          <w:rFonts w:ascii="Tw Cen MT" w:eastAsia="Tw Cen MT" w:hAnsi="Tw Cen MT" w:cs="Tw Cen MT"/>
          <w:b w:val="0"/>
          <w:bCs w:val="0"/>
          <w:sz w:val="16"/>
          <w:szCs w:val="16"/>
        </w:rPr>
        <w:t>i</w:t>
      </w:r>
      <w:proofErr w:type="spellEnd"/>
      <w:r w:rsidRPr="0081229B">
        <w:rPr>
          <w:rFonts w:ascii="Tw Cen MT" w:eastAsia="Tw Cen MT" w:hAnsi="Tw Cen MT" w:cs="Tw Cen MT"/>
          <w:b w:val="0"/>
          <w:bCs w:val="0"/>
          <w:sz w:val="16"/>
          <w:szCs w:val="16"/>
        </w:rPr>
        <w:t>-PRF showed an effect on the inhibition of relapse for a longer time than OPG-FC.</w:t>
      </w:r>
      <w:r w:rsidR="00A9710C">
        <w:rPr>
          <w:b w:val="0"/>
        </w:rPr>
        <w:br w:type="column"/>
      </w:r>
      <w:r w:rsidR="00A9710C">
        <w:rPr>
          <w:color w:val="BF5A14"/>
        </w:rPr>
        <w:t>Image</w:t>
      </w:r>
    </w:p>
    <w:p w14:paraId="6085674D" w14:textId="5FC2850E" w:rsidR="00AE3E37" w:rsidRDefault="00AE3E37">
      <w:pPr>
        <w:pStyle w:val="BodyText"/>
        <w:spacing w:before="2"/>
        <w:rPr>
          <w:rFonts w:ascii="Arial"/>
          <w:b/>
          <w:sz w:val="16"/>
        </w:rPr>
      </w:pPr>
    </w:p>
    <w:p w14:paraId="04F192DC" w14:textId="5FAC3866" w:rsidR="00762EB4" w:rsidRPr="00762EB4" w:rsidRDefault="00762EB4" w:rsidP="00762EB4">
      <w:pPr>
        <w:widowControl/>
        <w:autoSpaceDE w:val="0"/>
        <w:autoSpaceDN w:val="0"/>
        <w:adjustRightInd w:val="0"/>
        <w:spacing w:line="360" w:lineRule="auto"/>
        <w:ind w:right="-58"/>
        <w:rPr>
          <w:rFonts w:ascii="Times New Roman" w:eastAsia="Times New Roman" w:hAnsi="Times New Roman" w:cs="Times New Roman"/>
          <w:sz w:val="24"/>
          <w:szCs w:val="28"/>
        </w:rPr>
      </w:pPr>
      <w:r w:rsidRPr="00762EB4">
        <w:rPr>
          <w:rFonts w:ascii="Tahoma" w:eastAsia="Times New Roman" w:hAnsi="Times New Roman" w:cs="Simplified Arabic"/>
          <w:noProof/>
          <w:sz w:val="24"/>
          <w:szCs w:val="28"/>
        </w:rPr>
        <w:drawing>
          <wp:inline distT="0" distB="0" distL="0" distR="0" wp14:anchorId="2198FB68" wp14:editId="5B926880">
            <wp:extent cx="3162940" cy="1132609"/>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08289" cy="1184657"/>
                    </a:xfrm>
                    <a:prstGeom prst="rect">
                      <a:avLst/>
                    </a:prstGeom>
                    <a:noFill/>
                    <a:ln>
                      <a:noFill/>
                    </a:ln>
                  </pic:spPr>
                </pic:pic>
              </a:graphicData>
            </a:graphic>
          </wp:inline>
        </w:drawing>
      </w:r>
      <w:r w:rsidRPr="00762EB4">
        <w:rPr>
          <w:rFonts w:ascii="Times New Roman" w:eastAsia="Times New Roman" w:hAnsi="Times New Roman" w:cs="Times New Roman"/>
          <w:b/>
          <w:bCs/>
          <w:sz w:val="16"/>
          <w:szCs w:val="18"/>
        </w:rPr>
        <w:t>Figure (4.1):</w:t>
      </w:r>
      <w:r w:rsidRPr="00762EB4">
        <w:rPr>
          <w:rFonts w:ascii="Times New Roman" w:eastAsia="Times New Roman" w:hAnsi="Times New Roman" w:cs="Times New Roman"/>
          <w:sz w:val="16"/>
          <w:szCs w:val="18"/>
        </w:rPr>
        <w:t xml:space="preserve"> The mean of RD in the upper region at different days for all groups.</w:t>
      </w:r>
    </w:p>
    <w:p w14:paraId="78D8DD1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F5E7C43" w14:textId="5AA0CE6D" w:rsidR="005973B9" w:rsidRDefault="00B43CD6" w:rsidP="00B43CD6">
      <w:pPr>
        <w:pStyle w:val="ListParagraph"/>
        <w:numPr>
          <w:ilvl w:val="0"/>
          <w:numId w:val="3"/>
        </w:numPr>
        <w:tabs>
          <w:tab w:val="left" w:pos="384"/>
        </w:tabs>
        <w:spacing w:line="216" w:lineRule="exact"/>
        <w:ind w:right="138" w:hanging="283"/>
        <w:rPr>
          <w:sz w:val="18"/>
        </w:rPr>
      </w:pPr>
      <w:r w:rsidRPr="00B43CD6">
        <w:rPr>
          <w:sz w:val="18"/>
        </w:rPr>
        <w:t>Al-</w:t>
      </w:r>
      <w:proofErr w:type="spellStart"/>
      <w:r w:rsidRPr="00B43CD6">
        <w:rPr>
          <w:sz w:val="18"/>
        </w:rPr>
        <w:t>Fakhry</w:t>
      </w:r>
      <w:proofErr w:type="spellEnd"/>
      <w:r w:rsidRPr="00B43CD6">
        <w:rPr>
          <w:sz w:val="18"/>
        </w:rPr>
        <w:t>, H. H., &amp; Al-</w:t>
      </w:r>
      <w:proofErr w:type="spellStart"/>
      <w:r w:rsidRPr="00B43CD6">
        <w:rPr>
          <w:sz w:val="18"/>
        </w:rPr>
        <w:t>Sayagh</w:t>
      </w:r>
      <w:proofErr w:type="spellEnd"/>
      <w:r w:rsidRPr="00B43CD6">
        <w:rPr>
          <w:sz w:val="18"/>
        </w:rPr>
        <w:t>, N. M. (2022). Effects of Injectable platelet rich fibrin (</w:t>
      </w:r>
      <w:proofErr w:type="spellStart"/>
      <w:r w:rsidRPr="00B43CD6">
        <w:rPr>
          <w:sz w:val="18"/>
        </w:rPr>
        <w:t>i</w:t>
      </w:r>
      <w:proofErr w:type="spellEnd"/>
      <w:r w:rsidRPr="00B43CD6">
        <w:rPr>
          <w:sz w:val="18"/>
        </w:rPr>
        <w:t>-PRF) on reduction of relapse after orthodontic tooth movement: Rabbits model study. Journal of orthodontic science, 11, 10</w:t>
      </w:r>
      <w:r>
        <w:rPr>
          <w:sz w:val="18"/>
        </w:rPr>
        <w:t>.</w:t>
      </w:r>
    </w:p>
    <w:p w14:paraId="2CA39BB0" w14:textId="43311CEA" w:rsidR="00AE3E37" w:rsidRPr="0010379A" w:rsidRDefault="0010379A" w:rsidP="0010379A">
      <w:pPr>
        <w:pStyle w:val="ListParagraph"/>
        <w:numPr>
          <w:ilvl w:val="0"/>
          <w:numId w:val="3"/>
        </w:numPr>
        <w:tabs>
          <w:tab w:val="left" w:pos="384"/>
        </w:tabs>
        <w:spacing w:line="216" w:lineRule="exact"/>
        <w:ind w:right="138" w:hanging="283"/>
        <w:rPr>
          <w:sz w:val="18"/>
        </w:rPr>
      </w:pPr>
      <w:r w:rsidRPr="0010379A">
        <w:rPr>
          <w:sz w:val="18"/>
        </w:rPr>
        <w:t>Hakam H. Alfakhry</w:t>
      </w:r>
      <w:r w:rsidR="003C20FA">
        <w:rPr>
          <w:sz w:val="18"/>
        </w:rPr>
        <w:t>,</w:t>
      </w:r>
      <w:r w:rsidRPr="0010379A">
        <w:rPr>
          <w:sz w:val="18"/>
        </w:rPr>
        <w:t xml:space="preserve">  Saba H Al </w:t>
      </w:r>
      <w:proofErr w:type="spellStart"/>
      <w:r w:rsidRPr="0010379A">
        <w:rPr>
          <w:sz w:val="18"/>
        </w:rPr>
        <w:t>Al</w:t>
      </w:r>
      <w:proofErr w:type="spellEnd"/>
      <w:r w:rsidRPr="0010379A">
        <w:rPr>
          <w:sz w:val="18"/>
        </w:rPr>
        <w:t xml:space="preserve"> </w:t>
      </w:r>
      <w:proofErr w:type="spellStart"/>
      <w:r w:rsidRPr="0010379A">
        <w:rPr>
          <w:sz w:val="18"/>
        </w:rPr>
        <w:t>Zubaidi</w:t>
      </w:r>
      <w:proofErr w:type="spellEnd"/>
      <w:r w:rsidRPr="0010379A">
        <w:rPr>
          <w:sz w:val="18"/>
        </w:rPr>
        <w:t xml:space="preserve"> </w:t>
      </w:r>
      <w:r w:rsidR="003C20FA">
        <w:rPr>
          <w:sz w:val="18"/>
        </w:rPr>
        <w:t>,</w:t>
      </w:r>
      <w:r w:rsidRPr="0010379A">
        <w:rPr>
          <w:sz w:val="18"/>
        </w:rPr>
        <w:t xml:space="preserve"> Anas M AL mukhtar </w:t>
      </w:r>
      <w:r w:rsidR="00B43CD6" w:rsidRPr="0010379A">
        <w:rPr>
          <w:sz w:val="18"/>
        </w:rPr>
        <w:t>(2021). 'Treatment of Horizontally Impacted Lower Cuspid with Two Roots Anatomical anomaly (Case Report)', Al-</w:t>
      </w:r>
      <w:proofErr w:type="spellStart"/>
      <w:r w:rsidR="00B43CD6" w:rsidRPr="0010379A">
        <w:rPr>
          <w:sz w:val="18"/>
        </w:rPr>
        <w:t>Rafidain</w:t>
      </w:r>
      <w:proofErr w:type="spellEnd"/>
      <w:r w:rsidR="00B43CD6" w:rsidRPr="0010379A">
        <w:rPr>
          <w:sz w:val="18"/>
        </w:rPr>
        <w:t xml:space="preserve"> Dental Journal, 21(2), pp. 215-227</w:t>
      </w:r>
      <w:r w:rsidR="003C20FA">
        <w:rPr>
          <w:sz w:val="18"/>
        </w:rPr>
        <w:t>.</w:t>
      </w:r>
    </w:p>
    <w:p w14:paraId="43E8CE0D" w14:textId="77777777" w:rsidR="003C20FA" w:rsidRDefault="003C20FA" w:rsidP="0010379A">
      <w:pPr>
        <w:pStyle w:val="ListParagraph"/>
        <w:numPr>
          <w:ilvl w:val="0"/>
          <w:numId w:val="3"/>
        </w:numPr>
        <w:tabs>
          <w:tab w:val="left" w:pos="384"/>
        </w:tabs>
        <w:spacing w:line="216" w:lineRule="exact"/>
        <w:ind w:right="138" w:hanging="283"/>
        <w:rPr>
          <w:sz w:val="18"/>
        </w:rPr>
      </w:pPr>
      <w:proofErr w:type="spellStart"/>
      <w:r w:rsidRPr="003C20FA">
        <w:rPr>
          <w:sz w:val="18"/>
        </w:rPr>
        <w:t>Zubaidi</w:t>
      </w:r>
      <w:proofErr w:type="spellEnd"/>
      <w:r w:rsidRPr="003C20FA">
        <w:rPr>
          <w:sz w:val="18"/>
        </w:rPr>
        <w:t xml:space="preserve"> SH, Al, Alfakhry HHS (2018). Anterior </w:t>
      </w:r>
      <w:proofErr w:type="spellStart"/>
      <w:r w:rsidRPr="003C20FA">
        <w:rPr>
          <w:sz w:val="18"/>
        </w:rPr>
        <w:t>alve</w:t>
      </w:r>
      <w:proofErr w:type="spellEnd"/>
      <w:r w:rsidRPr="003C20FA">
        <w:rPr>
          <w:sz w:val="18"/>
        </w:rPr>
        <w:t xml:space="preserve"> </w:t>
      </w:r>
      <w:proofErr w:type="spellStart"/>
      <w:r w:rsidRPr="003C20FA">
        <w:rPr>
          <w:sz w:val="18"/>
        </w:rPr>
        <w:t>olar</w:t>
      </w:r>
      <w:proofErr w:type="spellEnd"/>
      <w:r w:rsidRPr="003C20FA">
        <w:rPr>
          <w:sz w:val="18"/>
        </w:rPr>
        <w:t xml:space="preserve"> dimensions for class I normal occlusion a </w:t>
      </w:r>
      <w:proofErr w:type="spellStart"/>
      <w:r w:rsidRPr="003C20FA">
        <w:rPr>
          <w:sz w:val="18"/>
        </w:rPr>
        <w:t>nd</w:t>
      </w:r>
      <w:proofErr w:type="spellEnd"/>
      <w:r w:rsidRPr="003C20FA">
        <w:rPr>
          <w:sz w:val="18"/>
        </w:rPr>
        <w:t xml:space="preserve"> class II malocclusion of Iraqi a </w:t>
      </w:r>
      <w:proofErr w:type="spellStart"/>
      <w:r w:rsidRPr="003C20FA">
        <w:rPr>
          <w:sz w:val="18"/>
        </w:rPr>
        <w:t>dults</w:t>
      </w:r>
      <w:proofErr w:type="spellEnd"/>
      <w:r w:rsidRPr="003C20FA">
        <w:rPr>
          <w:sz w:val="18"/>
        </w:rPr>
        <w:t xml:space="preserve">. Int J </w:t>
      </w:r>
      <w:proofErr w:type="spellStart"/>
      <w:r w:rsidRPr="003C20FA">
        <w:rPr>
          <w:sz w:val="18"/>
        </w:rPr>
        <w:t>Enhanc</w:t>
      </w:r>
      <w:proofErr w:type="spellEnd"/>
      <w:r w:rsidRPr="003C20FA">
        <w:rPr>
          <w:sz w:val="18"/>
        </w:rPr>
        <w:t xml:space="preserve"> Res Sci Technol-Eng;7(6):51–57.</w:t>
      </w:r>
      <w:r w:rsidR="008756E6" w:rsidRPr="003C20FA">
        <w:rPr>
          <w:sz w:val="18"/>
        </w:rPr>
        <w:t xml:space="preserve"> </w:t>
      </w:r>
    </w:p>
    <w:p w14:paraId="1CC769FF" w14:textId="20A0936A" w:rsidR="00AE3E37" w:rsidRDefault="003C20FA" w:rsidP="0010379A">
      <w:pPr>
        <w:pStyle w:val="ListParagraph"/>
        <w:numPr>
          <w:ilvl w:val="0"/>
          <w:numId w:val="3"/>
        </w:numPr>
        <w:tabs>
          <w:tab w:val="left" w:pos="384"/>
        </w:tabs>
        <w:spacing w:line="216" w:lineRule="exact"/>
        <w:ind w:right="138" w:hanging="283"/>
        <w:rPr>
          <w:sz w:val="18"/>
        </w:rPr>
      </w:pPr>
      <w:r w:rsidRPr="003C20FA">
        <w:rPr>
          <w:sz w:val="18"/>
        </w:rPr>
        <w:t>Hakam H</w:t>
      </w:r>
      <w:r>
        <w:rPr>
          <w:sz w:val="18"/>
        </w:rPr>
        <w:t>.</w:t>
      </w:r>
      <w:r w:rsidRPr="003C20FA">
        <w:rPr>
          <w:sz w:val="18"/>
        </w:rPr>
        <w:t xml:space="preserve"> Sabah</w:t>
      </w:r>
      <w:r>
        <w:rPr>
          <w:sz w:val="18"/>
        </w:rPr>
        <w:t>,</w:t>
      </w:r>
      <w:r w:rsidRPr="003C20FA">
        <w:rPr>
          <w:sz w:val="18"/>
        </w:rPr>
        <w:t xml:space="preserve">  Saba H. Al–</w:t>
      </w:r>
      <w:proofErr w:type="spellStart"/>
      <w:r w:rsidRPr="003C20FA">
        <w:rPr>
          <w:sz w:val="18"/>
        </w:rPr>
        <w:t>Zubaidi</w:t>
      </w:r>
      <w:proofErr w:type="spellEnd"/>
      <w:r w:rsidRPr="003C20FA">
        <w:rPr>
          <w:sz w:val="18"/>
        </w:rPr>
        <w:t xml:space="preserve"> </w:t>
      </w:r>
      <w:r>
        <w:rPr>
          <w:sz w:val="18"/>
        </w:rPr>
        <w:t>,</w:t>
      </w:r>
      <w:r w:rsidRPr="003C20FA">
        <w:rPr>
          <w:sz w:val="18"/>
        </w:rPr>
        <w:t xml:space="preserve"> Omar H. </w:t>
      </w:r>
      <w:proofErr w:type="spellStart"/>
      <w:r w:rsidRPr="003C20FA">
        <w:rPr>
          <w:sz w:val="18"/>
        </w:rPr>
        <w:t>Alluazy</w:t>
      </w:r>
      <w:proofErr w:type="spellEnd"/>
      <w:r w:rsidRPr="003C20FA">
        <w:rPr>
          <w:sz w:val="18"/>
        </w:rPr>
        <w:t xml:space="preserve"> (2017). 'Orthodontic Treatment of Unilateral Impacted Complete Transposed Maxillary Canine and Impacted Dilacerated Maxillary central incisor', Al-</w:t>
      </w:r>
      <w:proofErr w:type="spellStart"/>
      <w:r w:rsidRPr="003C20FA">
        <w:rPr>
          <w:sz w:val="18"/>
        </w:rPr>
        <w:t>Rafidain</w:t>
      </w:r>
      <w:proofErr w:type="spellEnd"/>
      <w:r w:rsidRPr="003C20FA">
        <w:rPr>
          <w:sz w:val="18"/>
        </w:rPr>
        <w:t xml:space="preserve"> Dental Journal, 17(1), pp. 58-67</w:t>
      </w:r>
      <w:r>
        <w:rPr>
          <w:sz w:val="18"/>
        </w:rPr>
        <w:t>.</w:t>
      </w:r>
      <w:r w:rsidR="008756E6" w:rsidRPr="003C20FA">
        <w:rPr>
          <w:sz w:val="18"/>
        </w:rPr>
        <w:t xml:space="preserve"> </w:t>
      </w:r>
    </w:p>
    <w:p w14:paraId="4B43FB8F" w14:textId="181EEE50" w:rsidR="003C20FA" w:rsidRDefault="00AB1F58" w:rsidP="0010379A">
      <w:pPr>
        <w:pStyle w:val="ListParagraph"/>
        <w:numPr>
          <w:ilvl w:val="0"/>
          <w:numId w:val="3"/>
        </w:numPr>
        <w:tabs>
          <w:tab w:val="left" w:pos="384"/>
        </w:tabs>
        <w:spacing w:line="216" w:lineRule="exact"/>
        <w:ind w:right="138" w:hanging="283"/>
        <w:rPr>
          <w:sz w:val="18"/>
        </w:rPr>
      </w:pPr>
      <w:r w:rsidRPr="00AB1F58">
        <w:rPr>
          <w:sz w:val="18"/>
        </w:rPr>
        <w:t xml:space="preserve">Omar H. </w:t>
      </w:r>
      <w:proofErr w:type="spellStart"/>
      <w:r w:rsidRPr="00AB1F58">
        <w:rPr>
          <w:sz w:val="18"/>
        </w:rPr>
        <w:t>Alluazy</w:t>
      </w:r>
      <w:proofErr w:type="spellEnd"/>
      <w:r w:rsidRPr="00AB1F58">
        <w:rPr>
          <w:sz w:val="18"/>
        </w:rPr>
        <w:t>; Hakam H. Sabah; Saba H. Al-</w:t>
      </w:r>
      <w:proofErr w:type="spellStart"/>
      <w:r w:rsidRPr="00AB1F58">
        <w:rPr>
          <w:sz w:val="18"/>
        </w:rPr>
        <w:t>zubaidi</w:t>
      </w:r>
      <w:proofErr w:type="spellEnd"/>
      <w:r w:rsidRPr="00AB1F58">
        <w:rPr>
          <w:sz w:val="18"/>
        </w:rPr>
        <w:t>; Mustafa M. Al-Sultan (2014). 'A Comparative Assessment of Space Closure Utilizing by Lingual and Conventional Brackets', Al-</w:t>
      </w:r>
      <w:proofErr w:type="spellStart"/>
      <w:r w:rsidRPr="00AB1F58">
        <w:rPr>
          <w:sz w:val="18"/>
        </w:rPr>
        <w:t>Rafidain</w:t>
      </w:r>
      <w:proofErr w:type="spellEnd"/>
      <w:r w:rsidRPr="00AB1F58">
        <w:rPr>
          <w:sz w:val="18"/>
        </w:rPr>
        <w:t xml:space="preserve"> Dental Journal, 14(2), pp. 220-227.</w:t>
      </w:r>
    </w:p>
    <w:p w14:paraId="1B9888C7" w14:textId="484BBE11" w:rsidR="003C20FA" w:rsidRPr="003C20FA" w:rsidRDefault="003C20FA" w:rsidP="0010379A">
      <w:pPr>
        <w:pStyle w:val="ListParagraph"/>
        <w:numPr>
          <w:ilvl w:val="0"/>
          <w:numId w:val="3"/>
        </w:numPr>
        <w:tabs>
          <w:tab w:val="left" w:pos="384"/>
        </w:tabs>
        <w:spacing w:line="216" w:lineRule="exact"/>
        <w:ind w:right="138" w:hanging="283"/>
        <w:rPr>
          <w:sz w:val="18"/>
        </w:rPr>
        <w:sectPr w:rsidR="003C20FA" w:rsidRPr="003C20FA" w:rsidSect="008E5477">
          <w:type w:val="continuous"/>
          <w:pgSz w:w="11910" w:h="16840"/>
          <w:pgMar w:top="995" w:right="600" w:bottom="840" w:left="620" w:header="720" w:footer="720" w:gutter="0"/>
          <w:cols w:num="2" w:space="720" w:equalWidth="0">
            <w:col w:w="5214" w:space="138"/>
            <w:col w:w="5338"/>
          </w:cols>
        </w:sectPr>
      </w:pPr>
    </w:p>
    <w:p w14:paraId="45C40BF7" w14:textId="77777777" w:rsidR="00AE3E37" w:rsidRDefault="00AE3E37">
      <w:pPr>
        <w:pStyle w:val="BodyText"/>
        <w:rPr>
          <w:rFonts w:ascii="Calibri"/>
          <w:sz w:val="20"/>
        </w:rPr>
      </w:pPr>
    </w:p>
    <w:p w14:paraId="0D0BDC2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8B6646B" wp14:editId="18372C8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3E9B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085F7D" w14:textId="64A2810B"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B3C761" wp14:editId="38B0CF18">
                <wp:simplePos x="0" y="0"/>
                <wp:positionH relativeFrom="column">
                  <wp:posOffset>5657273</wp:posOffset>
                </wp:positionH>
                <wp:positionV relativeFrom="paragraph">
                  <wp:posOffset>54495</wp:posOffset>
                </wp:positionV>
                <wp:extent cx="1012190" cy="645968"/>
                <wp:effectExtent l="19050" t="19050" r="16510" b="2095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45968"/>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816B0BE" w14:textId="637036E5" w:rsidR="00A52075" w:rsidRDefault="00522E2A" w:rsidP="00A52075">
                            <w:pPr>
                              <w:rPr>
                                <w:b/>
                                <w:color w:val="0000FF"/>
                                <w:lang w:val="en-IN"/>
                              </w:rPr>
                            </w:pPr>
                            <w:bookmarkStart w:id="3" w:name="_Hlk112095806"/>
                            <w:bookmarkEnd w:id="3"/>
                            <w:r w:rsidRPr="00522E2A">
                              <w:rPr>
                                <w:rFonts w:ascii="Tahoma" w:eastAsia="Times New Roman" w:hAnsi="Times New Roman" w:cs="Simplified Arabic"/>
                                <w:noProof/>
                                <w:sz w:val="24"/>
                                <w:szCs w:val="28"/>
                              </w:rPr>
                              <w:drawing>
                                <wp:inline distT="0" distB="0" distL="0" distR="0" wp14:anchorId="62F6CE80" wp14:editId="7F8E102A">
                                  <wp:extent cx="741680" cy="528320"/>
                                  <wp:effectExtent l="0" t="0" r="127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73205"/>
                                          <a:stretch/>
                                        </pic:blipFill>
                                        <pic:spPr bwMode="auto">
                                          <a:xfrm>
                                            <a:off x="0" y="0"/>
                                            <a:ext cx="741680" cy="528320"/>
                                          </a:xfrm>
                                          <a:prstGeom prst="rect">
                                            <a:avLst/>
                                          </a:prstGeom>
                                          <a:noFill/>
                                          <a:ln>
                                            <a:noFill/>
                                          </a:ln>
                                          <a:extLst>
                                            <a:ext uri="{53640926-AAD7-44D8-BBD7-CCE9431645EC}">
                                              <a14:shadowObscured xmlns:a14="http://schemas.microsoft.com/office/drawing/2010/main"/>
                                            </a:ext>
                                          </a:extLst>
                                        </pic:spPr>
                                      </pic:pic>
                                    </a:graphicData>
                                  </a:graphic>
                                </wp:inline>
                              </w:drawing>
                            </w:r>
                            <w:r w:rsidR="00A5207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B3C761" id="Rounded Rectangle 2" o:spid="_x0000_s1026" style="position:absolute;margin-left:445.45pt;margin-top:4.3pt;width:79.7pt;height:5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" strokecolor="#9bbb59" strokeweight="2.5pt">
                <v:shadow color="#868686"/>
                <v:textbox>
                  <w:txbxContent>
                    <w:p w14:paraId="3816B0BE" w14:textId="637036E5" w:rsidR="00A52075" w:rsidRDefault="00522E2A" w:rsidP="00A52075">
                      <w:pPr>
                        <w:rPr>
                          <w:b/>
                          <w:color w:val="0000FF"/>
                          <w:lang w:val="en-IN"/>
                        </w:rPr>
                      </w:pPr>
                      <w:bookmarkStart w:id="4" w:name="_Hlk112095806"/>
                      <w:bookmarkEnd w:id="4"/>
                      <w:r w:rsidRPr="00522E2A">
                        <w:rPr>
                          <w:rFonts w:ascii="Tahoma" w:eastAsia="Times New Roman" w:hAnsi="Times New Roman" w:cs="Simplified Arabic"/>
                          <w:noProof/>
                          <w:sz w:val="24"/>
                          <w:szCs w:val="28"/>
                        </w:rPr>
                        <w:drawing>
                          <wp:inline distT="0" distB="0" distL="0" distR="0" wp14:anchorId="62F6CE80" wp14:editId="7F8E102A">
                            <wp:extent cx="741680" cy="528320"/>
                            <wp:effectExtent l="0" t="0" r="127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73205"/>
                                    <a:stretch/>
                                  </pic:blipFill>
                                  <pic:spPr bwMode="auto">
                                    <a:xfrm>
                                      <a:off x="0" y="0"/>
                                      <a:ext cx="741680" cy="528320"/>
                                    </a:xfrm>
                                    <a:prstGeom prst="rect">
                                      <a:avLst/>
                                    </a:prstGeom>
                                    <a:noFill/>
                                    <a:ln>
                                      <a:noFill/>
                                    </a:ln>
                                    <a:extLst>
                                      <a:ext uri="{53640926-AAD7-44D8-BBD7-CCE9431645EC}">
                                        <a14:shadowObscured xmlns:a14="http://schemas.microsoft.com/office/drawing/2010/main"/>
                                      </a:ext>
                                    </a:extLst>
                                  </pic:spPr>
                                </pic:pic>
                              </a:graphicData>
                            </a:graphic>
                          </wp:inline>
                        </w:drawing>
                      </w:r>
                      <w:r w:rsidR="00A52075">
                        <w:rPr>
                          <w:b/>
                          <w:color w:val="0000FF"/>
                          <w:lang w:val="en-IN"/>
                        </w:rPr>
                        <w:t>Paste your Logo here</w:t>
                      </w:r>
                    </w:p>
                  </w:txbxContent>
                </v:textbox>
              </v:roundrect>
            </w:pict>
          </mc:Fallback>
        </mc:AlternateContent>
      </w:r>
      <w:r w:rsidR="008756E6">
        <w:rPr>
          <w:noProof/>
        </w:rPr>
        <w:t xml:space="preserve">          </w:t>
      </w:r>
      <w:r w:rsidR="00DC7B26">
        <w:rPr>
          <w:noProof/>
        </w:rPr>
        <w:drawing>
          <wp:inline distT="0" distB="0" distL="0" distR="0" wp14:anchorId="4230F58C" wp14:editId="3A39AA2F">
            <wp:extent cx="732559" cy="607695"/>
            <wp:effectExtent l="0" t="0" r="0" b="1905"/>
            <wp:docPr id="11" name="Picture 11" descr="A picture containing text,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person, indoor&#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598" t="1" r="19552" b="21579"/>
                    <a:stretch/>
                  </pic:blipFill>
                  <pic:spPr bwMode="auto">
                    <a:xfrm>
                      <a:off x="0" y="0"/>
                      <a:ext cx="749516" cy="621762"/>
                    </a:xfrm>
                    <a:prstGeom prst="rect">
                      <a:avLst/>
                    </a:prstGeom>
                    <a:noFill/>
                    <a:ln>
                      <a:noFill/>
                    </a:ln>
                    <a:extLst>
                      <a:ext uri="{53640926-AAD7-44D8-BBD7-CCE9431645EC}">
                        <a14:shadowObscured xmlns:a14="http://schemas.microsoft.com/office/drawing/2010/main"/>
                      </a:ext>
                    </a:extLst>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2A9F812C" w14:textId="647DA71D" w:rsidR="00210FBA" w:rsidRDefault="00210FBA" w:rsidP="00210FBA">
      <w:pPr>
        <w:spacing w:before="41" w:line="154" w:lineRule="exact"/>
        <w:ind w:left="213" w:right="231"/>
        <w:jc w:val="both"/>
        <w:rPr>
          <w:rFonts w:ascii="Arial"/>
          <w:sz w:val="14"/>
        </w:rPr>
      </w:pPr>
      <w:r>
        <w:rPr>
          <w:rFonts w:ascii="Arial"/>
          <w:sz w:val="14"/>
        </w:rPr>
        <w:t>H</w:t>
      </w:r>
      <w:r w:rsidRPr="00210FBA">
        <w:rPr>
          <w:rFonts w:ascii="Arial"/>
          <w:sz w:val="14"/>
        </w:rPr>
        <w:t>akam Alfakhry has the following qualifications: 29/6/1996 Bachelor of Science in Dentistry/College of Dentistry/University of Mosul</w:t>
      </w:r>
      <w:r w:rsidR="006A27C0">
        <w:rPr>
          <w:rFonts w:ascii="Arial"/>
          <w:sz w:val="14"/>
        </w:rPr>
        <w:t>, then at</w:t>
      </w:r>
      <w:r w:rsidRPr="00210FBA">
        <w:rPr>
          <w:rFonts w:ascii="Arial"/>
          <w:sz w:val="14"/>
        </w:rPr>
        <w:t xml:space="preserve"> 15/10/2001 M.Sc. Orthodontics/College of Dentistry/University of Baghdad and 17/5/2022 PhD in general dentistry from the College of Dentistry/University of Mosul. The Iraqi Dental Association granted a license to practice dentistry to Iraqis in Baghdad on September 14, 1997, with registration number 4621.</w:t>
      </w:r>
      <w:r w:rsidR="006A27C0">
        <w:rPr>
          <w:rFonts w:ascii="Arial"/>
          <w:sz w:val="14"/>
        </w:rPr>
        <w:t xml:space="preserve"> </w:t>
      </w:r>
      <w:r w:rsidR="00680C76">
        <w:rPr>
          <w:rFonts w:ascii="Arial"/>
          <w:sz w:val="14"/>
        </w:rPr>
        <w:t>From</w:t>
      </w:r>
      <w:r w:rsidRPr="00210FBA">
        <w:rPr>
          <w:rFonts w:ascii="Arial"/>
          <w:sz w:val="14"/>
        </w:rPr>
        <w:t xml:space="preserve"> 200</w:t>
      </w:r>
      <w:r w:rsidR="001B196C">
        <w:rPr>
          <w:rFonts w:ascii="Arial"/>
          <w:sz w:val="14"/>
        </w:rPr>
        <w:t>2</w:t>
      </w:r>
      <w:r w:rsidR="00680C76">
        <w:rPr>
          <w:rFonts w:ascii="Arial"/>
          <w:sz w:val="14"/>
        </w:rPr>
        <w:t xml:space="preserve"> to </w:t>
      </w:r>
      <w:r w:rsidRPr="00210FBA">
        <w:rPr>
          <w:rFonts w:ascii="Arial"/>
          <w:sz w:val="14"/>
        </w:rPr>
        <w:t xml:space="preserve">2009 Assistant Lecturer in the Faculty of Dentistry, University of </w:t>
      </w:r>
      <w:proofErr w:type="spellStart"/>
      <w:r w:rsidRPr="00210FBA">
        <w:rPr>
          <w:rFonts w:ascii="Arial"/>
          <w:sz w:val="14"/>
        </w:rPr>
        <w:t>Mustansiriya</w:t>
      </w:r>
      <w:proofErr w:type="spellEnd"/>
      <w:r w:rsidRPr="00210FBA">
        <w:rPr>
          <w:rFonts w:ascii="Arial"/>
          <w:sz w:val="14"/>
        </w:rPr>
        <w:t xml:space="preserve"> (minutes of the fourth-grade students in addition to overseeing the clinics and laboratory for fifth grade and fourth grade). </w:t>
      </w:r>
      <w:r w:rsidR="00680C76">
        <w:rPr>
          <w:rFonts w:ascii="Arial"/>
          <w:sz w:val="14"/>
        </w:rPr>
        <w:t xml:space="preserve">Then from </w:t>
      </w:r>
      <w:r w:rsidRPr="00210FBA">
        <w:rPr>
          <w:rFonts w:ascii="Arial"/>
          <w:sz w:val="14"/>
        </w:rPr>
        <w:t>2009</w:t>
      </w:r>
      <w:r w:rsidR="00680C76">
        <w:rPr>
          <w:rFonts w:ascii="Arial"/>
          <w:sz w:val="14"/>
        </w:rPr>
        <w:t xml:space="preserve"> to </w:t>
      </w:r>
      <w:r w:rsidRPr="00210FBA">
        <w:rPr>
          <w:rFonts w:ascii="Arial"/>
          <w:sz w:val="14"/>
        </w:rPr>
        <w:t>2015 lecturer in the Faculty of Dentistry, University of Mosul, minutes of the fourth and fifth grade students in addition to overseeing the clinics. 2015-till now, assistant professor lecturer in the Faculty of Dentistry at the University of Mosul minutes of the fourth and fifth grade students in addition to overseeing the clinics. Furthermore, he supervises many post-graduate students at the University of Mosul's College of Dentistry.</w:t>
      </w:r>
      <w:r w:rsidR="006A27C0">
        <w:rPr>
          <w:rFonts w:ascii="Arial"/>
          <w:sz w:val="14"/>
        </w:rPr>
        <w:t xml:space="preserve"> </w:t>
      </w:r>
      <w:r w:rsidR="001046CE">
        <w:rPr>
          <w:rFonts w:ascii="Arial"/>
          <w:sz w:val="14"/>
        </w:rPr>
        <w:t>Finally,</w:t>
      </w:r>
      <w:r w:rsidR="006A27C0">
        <w:rPr>
          <w:rFonts w:ascii="Arial"/>
          <w:sz w:val="14"/>
        </w:rPr>
        <w:t xml:space="preserve"> he had more than 10 published article.</w:t>
      </w:r>
    </w:p>
    <w:p w14:paraId="6C46B93C" w14:textId="6D51A409" w:rsidR="00AE3E37" w:rsidRDefault="00A9710C">
      <w:pPr>
        <w:spacing w:before="62"/>
        <w:ind w:left="4217" w:right="4235"/>
        <w:jc w:val="center"/>
        <w:rPr>
          <w:rFonts w:ascii="Arial"/>
          <w:sz w:val="14"/>
        </w:rPr>
      </w:pPr>
      <w:r>
        <w:rPr>
          <w:rFonts w:ascii="Arial"/>
          <w:sz w:val="14"/>
        </w:rPr>
        <w:t xml:space="preserve">Email: </w:t>
      </w:r>
      <w:hyperlink r:id="rId11" w:history="1">
        <w:r w:rsidR="00DC7B26" w:rsidRPr="00A96CD2">
          <w:rPr>
            <w:rStyle w:val="Hyperlink"/>
            <w:rFonts w:ascii="Arial"/>
            <w:sz w:val="14"/>
          </w:rPr>
          <w:t>hakamhusham@yahoo.com</w:t>
        </w:r>
      </w:hyperlink>
    </w:p>
    <w:p w14:paraId="703D13A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407B839" wp14:editId="77332B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CD8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0C5E36C" w14:textId="77777777" w:rsidR="00AE3E37" w:rsidRDefault="00A9710C" w:rsidP="000534A1">
      <w:pPr>
        <w:spacing w:before="39"/>
        <w:ind w:left="100"/>
        <w:rPr>
          <w:rFonts w:ascii="Minion Pro"/>
          <w:b/>
          <w:sz w:val="20"/>
        </w:rPr>
      </w:pPr>
      <w:r w:rsidRPr="00B21A57">
        <w:rPr>
          <w:rFonts w:ascii="Minion Pro"/>
          <w:b/>
          <w:sz w:val="20"/>
        </w:rPr>
        <w:t>Notes/Comments:</w:t>
      </w:r>
    </w:p>
    <w:p w14:paraId="22B27E94" w14:textId="17D98325" w:rsidR="00EA7D51" w:rsidRPr="006A27C0" w:rsidRDefault="00744A21" w:rsidP="00E239FD">
      <w:pPr>
        <w:spacing w:before="39"/>
        <w:ind w:left="100"/>
        <w:rPr>
          <w:rFonts w:ascii="Minion Pro"/>
          <w:bCs/>
          <w:sz w:val="14"/>
          <w:szCs w:val="16"/>
        </w:rPr>
      </w:pPr>
      <w:r w:rsidRPr="006A27C0">
        <w:rPr>
          <w:rFonts w:ascii="Minion Pro"/>
          <w:bCs/>
          <w:sz w:val="14"/>
          <w:szCs w:val="16"/>
        </w:rPr>
        <w:t>My poster will be based on my dissertation for the degree of Philosophy Doctorate in Dental Sciences, and it is an honor to be one of those chosen to present their work at your meeting.</w:t>
      </w:r>
      <w:r w:rsidRPr="006A27C0">
        <w:rPr>
          <w:rFonts w:ascii="Minion Pro"/>
          <w:bCs/>
          <w:sz w:val="14"/>
          <w:szCs w:val="16"/>
        </w:rPr>
        <w:t> </w:t>
      </w:r>
    </w:p>
    <w:p w14:paraId="34AEAD29" w14:textId="77777777" w:rsidR="00EA7D51" w:rsidRDefault="00EA7D51" w:rsidP="006A27C0">
      <w:pPr>
        <w:pStyle w:val="ListParagraph"/>
      </w:pPr>
    </w:p>
    <w:p w14:paraId="2C35DCFB" w14:textId="35D611F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1D37AB">
        <w:rPr>
          <w:sz w:val="20"/>
          <w:szCs w:val="20"/>
          <w:lang w:val="en-NZ"/>
        </w:rPr>
        <w:t xml:space="preserve"> Hakam Husham Sabah AL-</w:t>
      </w:r>
      <w:proofErr w:type="spellStart"/>
      <w:r w:rsidR="001D37AB">
        <w:rPr>
          <w:sz w:val="20"/>
          <w:szCs w:val="20"/>
          <w:lang w:val="en-NZ"/>
        </w:rPr>
        <w:t>fakhry</w:t>
      </w:r>
      <w:proofErr w:type="spellEnd"/>
      <w:r w:rsidRPr="00F35A62">
        <w:rPr>
          <w:sz w:val="20"/>
          <w:szCs w:val="20"/>
          <w:lang w:val="en-NZ"/>
        </w:rPr>
        <w:t xml:space="preserve"> </w:t>
      </w:r>
      <w:r w:rsidRPr="00F35A62">
        <w:rPr>
          <w:sz w:val="20"/>
          <w:szCs w:val="20"/>
          <w:lang w:val="en-NZ"/>
        </w:rPr>
        <w:br/>
        <w:t>Contact number:</w:t>
      </w:r>
      <w:r w:rsidR="001D37AB">
        <w:rPr>
          <w:sz w:val="20"/>
          <w:szCs w:val="20"/>
          <w:lang w:val="en-NZ"/>
        </w:rPr>
        <w:t xml:space="preserve"> 009647701644797</w:t>
      </w:r>
      <w:r w:rsidRPr="00F35A62">
        <w:rPr>
          <w:sz w:val="20"/>
          <w:szCs w:val="20"/>
          <w:lang w:val="en-NZ"/>
        </w:rPr>
        <w:br/>
        <w:t>Twitter account:</w:t>
      </w:r>
      <w:r w:rsidRPr="00F35A62">
        <w:rPr>
          <w:sz w:val="20"/>
          <w:szCs w:val="20"/>
          <w:lang w:val="en-NZ"/>
        </w:rPr>
        <w:br/>
        <w:t>Linked In account:</w:t>
      </w:r>
      <w:r w:rsidR="001D37AB">
        <w:rPr>
          <w:sz w:val="20"/>
          <w:szCs w:val="20"/>
          <w:lang w:val="en-NZ"/>
        </w:rPr>
        <w:t xml:space="preserve"> </w:t>
      </w:r>
      <w:r w:rsidR="001D37AB" w:rsidRPr="001D37AB">
        <w:rPr>
          <w:sz w:val="20"/>
          <w:szCs w:val="20"/>
          <w:lang w:val="en-NZ"/>
        </w:rPr>
        <w:t>Department of Orthodontics, Collage of Dentistry, University of Mosul, Iraq, IRAQ</w:t>
      </w:r>
    </w:p>
    <w:p w14:paraId="296B4FEB" w14:textId="0FE95720"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1D37AB">
        <w:rPr>
          <w:sz w:val="20"/>
          <w:szCs w:val="20"/>
          <w:lang w:val="en-NZ"/>
        </w:rPr>
        <w:t>: Poster presentation</w:t>
      </w:r>
      <w:r w:rsidRPr="00F35A62">
        <w:rPr>
          <w:sz w:val="20"/>
          <w:szCs w:val="20"/>
          <w:lang w:val="en-NZ"/>
        </w:rPr>
        <w:br/>
      </w:r>
    </w:p>
    <w:p w14:paraId="14E5AFD5"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A97407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4E74F" w14:textId="77777777" w:rsidR="009C4B16" w:rsidRDefault="009C4B16">
      <w:r>
        <w:separator/>
      </w:r>
    </w:p>
  </w:endnote>
  <w:endnote w:type="continuationSeparator" w:id="0">
    <w:p w14:paraId="28CFBC13" w14:textId="77777777" w:rsidR="009C4B16" w:rsidRDefault="009C4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6AC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E012CEB" wp14:editId="4E251B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6F1D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89AE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012CEB"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C56F1D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E89AE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08F4A3D" wp14:editId="141FB9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E44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AFB5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F4A3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C9E44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AFB5C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2CF35F" wp14:editId="778157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2C0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0D5DD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CF35F"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1E2C0D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0D5DD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372BB" w14:textId="77777777" w:rsidR="009C4B16" w:rsidRDefault="009C4B16">
      <w:r>
        <w:separator/>
      </w:r>
    </w:p>
  </w:footnote>
  <w:footnote w:type="continuationSeparator" w:id="0">
    <w:p w14:paraId="62CA5166" w14:textId="77777777" w:rsidR="009C4B16" w:rsidRDefault="009C4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87947684">
    <w:abstractNumId w:val="0"/>
  </w:num>
  <w:num w:numId="2" w16cid:durableId="1421370639">
    <w:abstractNumId w:val="1"/>
  </w:num>
  <w:num w:numId="3" w16cid:durableId="84988034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doNotDisplayPageBoundarie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0379A"/>
    <w:rsid w:val="001046CE"/>
    <w:rsid w:val="001263DF"/>
    <w:rsid w:val="001B196C"/>
    <w:rsid w:val="001D37AB"/>
    <w:rsid w:val="00210FBA"/>
    <w:rsid w:val="00292ED9"/>
    <w:rsid w:val="002F41E1"/>
    <w:rsid w:val="00351D9B"/>
    <w:rsid w:val="00380299"/>
    <w:rsid w:val="003C20FA"/>
    <w:rsid w:val="00404E5B"/>
    <w:rsid w:val="00414F7B"/>
    <w:rsid w:val="004355DC"/>
    <w:rsid w:val="004458DD"/>
    <w:rsid w:val="004749B4"/>
    <w:rsid w:val="00475D20"/>
    <w:rsid w:val="00494130"/>
    <w:rsid w:val="004F3523"/>
    <w:rsid w:val="00522E2A"/>
    <w:rsid w:val="00556530"/>
    <w:rsid w:val="00590D60"/>
    <w:rsid w:val="005973B9"/>
    <w:rsid w:val="005B3A56"/>
    <w:rsid w:val="006060CE"/>
    <w:rsid w:val="0061505C"/>
    <w:rsid w:val="00617259"/>
    <w:rsid w:val="0063497F"/>
    <w:rsid w:val="006649EB"/>
    <w:rsid w:val="00680C76"/>
    <w:rsid w:val="006A27C0"/>
    <w:rsid w:val="006B4207"/>
    <w:rsid w:val="00714354"/>
    <w:rsid w:val="00744A21"/>
    <w:rsid w:val="00762EB4"/>
    <w:rsid w:val="007B7CC3"/>
    <w:rsid w:val="0081229B"/>
    <w:rsid w:val="00873DF0"/>
    <w:rsid w:val="008756E6"/>
    <w:rsid w:val="00897EC5"/>
    <w:rsid w:val="008A0763"/>
    <w:rsid w:val="008E5477"/>
    <w:rsid w:val="009B2D44"/>
    <w:rsid w:val="009C4B16"/>
    <w:rsid w:val="00A07E82"/>
    <w:rsid w:val="00A52075"/>
    <w:rsid w:val="00A9710C"/>
    <w:rsid w:val="00AB1F58"/>
    <w:rsid w:val="00AE3E37"/>
    <w:rsid w:val="00B07358"/>
    <w:rsid w:val="00B21A57"/>
    <w:rsid w:val="00B40B0B"/>
    <w:rsid w:val="00B43CD6"/>
    <w:rsid w:val="00BE6743"/>
    <w:rsid w:val="00C33602"/>
    <w:rsid w:val="00C56C74"/>
    <w:rsid w:val="00CD6F55"/>
    <w:rsid w:val="00D70C70"/>
    <w:rsid w:val="00DC7B26"/>
    <w:rsid w:val="00DE3104"/>
    <w:rsid w:val="00DE6170"/>
    <w:rsid w:val="00E239FD"/>
    <w:rsid w:val="00E30AAC"/>
    <w:rsid w:val="00E95D97"/>
    <w:rsid w:val="00EA7D51"/>
    <w:rsid w:val="00F046EA"/>
    <w:rsid w:val="00F312EA"/>
    <w:rsid w:val="00F35A62"/>
    <w:rsid w:val="00F40720"/>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6C12F"/>
  <w15:docId w15:val="{91E8B047-B18C-439E-ABD4-87E8400E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C7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kamhusham@yahoo.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hakam alfakhry</cp:lastModifiedBy>
  <cp:revision>6</cp:revision>
  <dcterms:created xsi:type="dcterms:W3CDTF">2022-08-22T19:07:00Z</dcterms:created>
  <dcterms:modified xsi:type="dcterms:W3CDTF">2022-08-23T21:23:00Z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