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514F8" w14:textId="402C525C" w:rsidR="00AE18A1" w:rsidRDefault="00AE18A1" w:rsidP="00AE18A1">
      <w:pPr>
        <w:tabs>
          <w:tab w:val="left" w:pos="3544"/>
          <w:tab w:val="left" w:pos="3686"/>
        </w:tabs>
        <w:spacing w:line="360" w:lineRule="auto"/>
        <w:jc w:val="center"/>
        <w:rPr>
          <w:rFonts w:ascii="Times New Roman" w:hAnsi="Times New Roman" w:cs="Times New Roman"/>
          <w:b/>
          <w:bCs/>
          <w:color w:val="222222"/>
          <w:sz w:val="28"/>
          <w:szCs w:val="28"/>
          <w:shd w:val="clear" w:color="auto" w:fill="FFFFFF"/>
        </w:rPr>
      </w:pPr>
      <w:bookmarkStart w:id="0" w:name="_Hlk112240785"/>
      <w:bookmarkEnd w:id="0"/>
      <w:r w:rsidRPr="00BC146C">
        <w:rPr>
          <w:rFonts w:ascii="Times New Roman" w:hAnsi="Times New Roman" w:cs="Times New Roman"/>
          <w:b/>
          <w:bCs/>
          <w:color w:val="222222"/>
          <w:sz w:val="28"/>
          <w:szCs w:val="28"/>
          <w:shd w:val="clear" w:color="auto" w:fill="FFFFFF"/>
        </w:rPr>
        <w:t>Impact of foliar application of fungicides on tomato leaf fungal community structure revealed by metagenomic analysis</w:t>
      </w:r>
    </w:p>
    <w:p w14:paraId="3226EB2F" w14:textId="77777777" w:rsidR="00AE18A1" w:rsidRPr="00C21C1D" w:rsidRDefault="00AE18A1" w:rsidP="00AE18A1">
      <w:pPr>
        <w:tabs>
          <w:tab w:val="left" w:pos="3544"/>
          <w:tab w:val="left" w:pos="3686"/>
        </w:tabs>
        <w:spacing w:line="360" w:lineRule="auto"/>
        <w:jc w:val="center"/>
        <w:rPr>
          <w:rFonts w:ascii="Times New Roman" w:eastAsiaTheme="minorHAnsi" w:hAnsi="Times New Roman" w:cs="Times New Roman"/>
          <w:b/>
          <w:bCs/>
          <w:sz w:val="20"/>
          <w:szCs w:val="20"/>
        </w:rPr>
      </w:pPr>
      <w:r w:rsidRPr="00C21C1D">
        <w:rPr>
          <w:rFonts w:ascii="Times New Roman" w:eastAsiaTheme="minorHAnsi" w:hAnsi="Times New Roman" w:cs="Times New Roman"/>
          <w:b/>
          <w:bCs/>
          <w:sz w:val="20"/>
          <w:szCs w:val="20"/>
        </w:rPr>
        <w:t>V. Sumbula</w:t>
      </w:r>
      <w:r w:rsidRPr="00C21C1D">
        <w:rPr>
          <w:rFonts w:ascii="Times New Roman" w:eastAsiaTheme="minorHAnsi" w:hAnsi="Times New Roman" w:cs="Times New Roman"/>
          <w:b/>
          <w:bCs/>
          <w:sz w:val="20"/>
          <w:szCs w:val="20"/>
          <w:vertAlign w:val="superscript"/>
        </w:rPr>
        <w:t>1</w:t>
      </w:r>
      <w:r w:rsidRPr="00C21C1D">
        <w:rPr>
          <w:rFonts w:ascii="Times New Roman" w:eastAsiaTheme="minorHAnsi" w:hAnsi="Times New Roman" w:cs="Times New Roman"/>
          <w:b/>
          <w:bCs/>
          <w:sz w:val="20"/>
          <w:szCs w:val="20"/>
        </w:rPr>
        <w:t xml:space="preserve">*, P. </w:t>
      </w:r>
      <w:proofErr w:type="spellStart"/>
      <w:r w:rsidRPr="00C21C1D">
        <w:rPr>
          <w:rFonts w:ascii="Times New Roman" w:eastAsiaTheme="minorHAnsi" w:hAnsi="Times New Roman" w:cs="Times New Roman"/>
          <w:b/>
          <w:bCs/>
          <w:sz w:val="20"/>
          <w:szCs w:val="20"/>
        </w:rPr>
        <w:t>Sainamole</w:t>
      </w:r>
      <w:proofErr w:type="spellEnd"/>
      <w:r w:rsidRPr="00C21C1D">
        <w:rPr>
          <w:rFonts w:ascii="Times New Roman" w:eastAsiaTheme="minorHAnsi" w:hAnsi="Times New Roman" w:cs="Times New Roman"/>
          <w:b/>
          <w:bCs/>
          <w:sz w:val="20"/>
          <w:szCs w:val="20"/>
        </w:rPr>
        <w:t xml:space="preserve"> Kurian</w:t>
      </w:r>
      <w:r w:rsidRPr="00C21C1D">
        <w:rPr>
          <w:rFonts w:ascii="Times New Roman" w:eastAsiaTheme="minorHAnsi" w:hAnsi="Times New Roman" w:cs="Times New Roman"/>
          <w:b/>
          <w:bCs/>
          <w:sz w:val="20"/>
          <w:szCs w:val="20"/>
          <w:vertAlign w:val="superscript"/>
        </w:rPr>
        <w:t>2</w:t>
      </w:r>
      <w:r w:rsidRPr="00C21C1D">
        <w:rPr>
          <w:rFonts w:ascii="Times New Roman" w:eastAsiaTheme="minorHAnsi" w:hAnsi="Times New Roman" w:cs="Times New Roman"/>
          <w:b/>
          <w:bCs/>
          <w:sz w:val="20"/>
          <w:szCs w:val="20"/>
        </w:rPr>
        <w:t>, D. Girija</w:t>
      </w:r>
      <w:proofErr w:type="gramStart"/>
      <w:r w:rsidRPr="00C21C1D">
        <w:rPr>
          <w:rFonts w:ascii="Times New Roman" w:eastAsiaTheme="minorHAnsi" w:hAnsi="Times New Roman" w:cs="Times New Roman"/>
          <w:b/>
          <w:bCs/>
          <w:sz w:val="20"/>
          <w:szCs w:val="20"/>
          <w:vertAlign w:val="superscript"/>
        </w:rPr>
        <w:t>3</w:t>
      </w:r>
      <w:r>
        <w:rPr>
          <w:rFonts w:ascii="Times New Roman" w:eastAsiaTheme="minorHAnsi" w:hAnsi="Times New Roman" w:cs="Times New Roman"/>
          <w:b/>
          <w:bCs/>
          <w:sz w:val="20"/>
          <w:szCs w:val="20"/>
        </w:rPr>
        <w:t xml:space="preserve"> ,</w:t>
      </w:r>
      <w:proofErr w:type="gramEnd"/>
      <w:r>
        <w:rPr>
          <w:rFonts w:ascii="Times New Roman" w:eastAsiaTheme="minorHAnsi" w:hAnsi="Times New Roman" w:cs="Times New Roman"/>
          <w:b/>
          <w:bCs/>
          <w:sz w:val="20"/>
          <w:szCs w:val="20"/>
        </w:rPr>
        <w:t xml:space="preserve"> </w:t>
      </w:r>
      <w:r w:rsidRPr="00C21C1D">
        <w:rPr>
          <w:rFonts w:ascii="Times New Roman" w:eastAsiaTheme="minorHAnsi" w:hAnsi="Times New Roman" w:cs="Times New Roman"/>
          <w:b/>
          <w:bCs/>
          <w:sz w:val="20"/>
          <w:szCs w:val="20"/>
        </w:rPr>
        <w:t>K. Anita Cherian</w:t>
      </w:r>
      <w:r w:rsidRPr="00C21C1D">
        <w:rPr>
          <w:rFonts w:ascii="Times New Roman" w:eastAsiaTheme="minorHAnsi" w:hAnsi="Times New Roman" w:cs="Times New Roman"/>
          <w:b/>
          <w:bCs/>
          <w:sz w:val="20"/>
          <w:szCs w:val="20"/>
          <w:vertAlign w:val="superscript"/>
        </w:rPr>
        <w:t>4</w:t>
      </w:r>
      <w:r w:rsidRPr="00C21C1D">
        <w:rPr>
          <w:rFonts w:ascii="Times New Roman" w:eastAsiaTheme="minorHAnsi" w:hAnsi="Times New Roman" w:cs="Times New Roman"/>
          <w:b/>
          <w:bCs/>
          <w:sz w:val="20"/>
          <w:szCs w:val="20"/>
        </w:rPr>
        <w:t xml:space="preserve"> </w:t>
      </w:r>
      <w:r>
        <w:rPr>
          <w:rFonts w:ascii="Times New Roman" w:eastAsiaTheme="minorHAnsi" w:hAnsi="Times New Roman" w:cs="Times New Roman"/>
          <w:b/>
          <w:bCs/>
          <w:sz w:val="20"/>
          <w:szCs w:val="20"/>
        </w:rPr>
        <w:t>, C. Narayanankutty</w:t>
      </w:r>
      <w:r w:rsidRPr="009F4DFE">
        <w:rPr>
          <w:rFonts w:ascii="Times New Roman" w:eastAsiaTheme="minorHAnsi" w:hAnsi="Times New Roman" w:cs="Times New Roman"/>
          <w:b/>
          <w:bCs/>
          <w:sz w:val="20"/>
          <w:szCs w:val="20"/>
          <w:vertAlign w:val="superscript"/>
        </w:rPr>
        <w:t>5</w:t>
      </w:r>
    </w:p>
    <w:p w14:paraId="1A193D52" w14:textId="77777777" w:rsidR="00AE18A1" w:rsidRPr="00C21C1D" w:rsidRDefault="00AE18A1" w:rsidP="00AE18A1">
      <w:pPr>
        <w:autoSpaceDE w:val="0"/>
        <w:autoSpaceDN w:val="0"/>
        <w:adjustRightInd w:val="0"/>
        <w:jc w:val="center"/>
        <w:rPr>
          <w:rFonts w:ascii="Times-Roman" w:eastAsiaTheme="minorHAnsi" w:hAnsi="Times-Roman" w:cs="Times-Roman"/>
          <w:sz w:val="20"/>
          <w:szCs w:val="20"/>
        </w:rPr>
      </w:pPr>
      <w:r w:rsidRPr="00C21C1D">
        <w:rPr>
          <w:rFonts w:ascii="Times-Roman" w:eastAsiaTheme="minorHAnsi" w:hAnsi="Times-Roman" w:cs="Times-Roman"/>
          <w:sz w:val="20"/>
          <w:szCs w:val="20"/>
          <w:vertAlign w:val="superscript"/>
        </w:rPr>
        <w:t>1</w:t>
      </w:r>
      <w:r w:rsidRPr="00C21C1D">
        <w:rPr>
          <w:rFonts w:ascii="Times-Roman" w:eastAsiaTheme="minorHAnsi" w:hAnsi="Times-Roman" w:cs="Times-Roman"/>
          <w:sz w:val="20"/>
          <w:szCs w:val="20"/>
        </w:rPr>
        <w:t xml:space="preserve">Assistant Professor, Kerala Agricultural University, Division of Plant Pathology, Regional Agricultural Research Station, </w:t>
      </w:r>
      <w:proofErr w:type="spellStart"/>
      <w:r w:rsidRPr="00C21C1D">
        <w:rPr>
          <w:rFonts w:ascii="Times-Roman" w:eastAsiaTheme="minorHAnsi" w:hAnsi="Times-Roman" w:cs="Times-Roman"/>
          <w:sz w:val="20"/>
          <w:szCs w:val="20"/>
        </w:rPr>
        <w:t>Pattambi</w:t>
      </w:r>
      <w:proofErr w:type="spellEnd"/>
      <w:r w:rsidRPr="00C21C1D">
        <w:rPr>
          <w:rFonts w:ascii="Times-Roman" w:eastAsiaTheme="minorHAnsi" w:hAnsi="Times-Roman" w:cs="Times-Roman"/>
          <w:sz w:val="20"/>
          <w:szCs w:val="20"/>
        </w:rPr>
        <w:t>, Palakkad, Kerala, India – 679306</w:t>
      </w:r>
    </w:p>
    <w:p w14:paraId="5552450F" w14:textId="77777777" w:rsidR="00AE18A1" w:rsidRPr="00C21C1D" w:rsidRDefault="00AE18A1" w:rsidP="00AE18A1">
      <w:pPr>
        <w:autoSpaceDE w:val="0"/>
        <w:autoSpaceDN w:val="0"/>
        <w:adjustRightInd w:val="0"/>
        <w:jc w:val="center"/>
        <w:rPr>
          <w:rFonts w:ascii="Times-Roman" w:eastAsiaTheme="minorHAnsi" w:hAnsi="Times-Roman" w:cs="Times-Roman"/>
          <w:sz w:val="20"/>
          <w:szCs w:val="20"/>
        </w:rPr>
      </w:pPr>
      <w:r w:rsidRPr="00C21C1D">
        <w:rPr>
          <w:rFonts w:ascii="Times-Roman" w:eastAsiaTheme="minorHAnsi" w:hAnsi="Times-Roman" w:cs="Times-Roman"/>
          <w:sz w:val="20"/>
          <w:szCs w:val="20"/>
          <w:vertAlign w:val="superscript"/>
        </w:rPr>
        <w:t>2</w:t>
      </w:r>
      <w:r w:rsidRPr="00C21C1D">
        <w:rPr>
          <w:rFonts w:ascii="Times-Roman" w:eastAsiaTheme="minorHAnsi" w:hAnsi="Times-Roman" w:cs="Times-Roman"/>
          <w:sz w:val="20"/>
          <w:szCs w:val="20"/>
        </w:rPr>
        <w:t>Professor, Department of Plant Pathology, College of Agriculture, Kerala Agricultural University</w:t>
      </w:r>
    </w:p>
    <w:p w14:paraId="50303B39" w14:textId="77777777" w:rsidR="00AE18A1" w:rsidRPr="00C21C1D" w:rsidRDefault="00AE18A1" w:rsidP="00AE18A1">
      <w:pPr>
        <w:autoSpaceDE w:val="0"/>
        <w:autoSpaceDN w:val="0"/>
        <w:adjustRightInd w:val="0"/>
        <w:jc w:val="center"/>
        <w:rPr>
          <w:rFonts w:ascii="Times-Roman" w:eastAsiaTheme="minorHAnsi" w:hAnsi="Times-Roman" w:cs="Times-Roman"/>
          <w:sz w:val="20"/>
          <w:szCs w:val="20"/>
        </w:rPr>
      </w:pPr>
      <w:r w:rsidRPr="00C21C1D">
        <w:rPr>
          <w:rFonts w:ascii="Times-Roman" w:eastAsiaTheme="minorHAnsi" w:hAnsi="Times-Roman" w:cs="Times-Roman"/>
          <w:sz w:val="20"/>
          <w:szCs w:val="20"/>
          <w:vertAlign w:val="superscript"/>
        </w:rPr>
        <w:t>3</w:t>
      </w:r>
      <w:r w:rsidRPr="00C21C1D">
        <w:rPr>
          <w:rFonts w:ascii="Times-Roman" w:eastAsiaTheme="minorHAnsi" w:hAnsi="Times-Roman" w:cs="Times-Roman"/>
          <w:sz w:val="20"/>
          <w:szCs w:val="20"/>
        </w:rPr>
        <w:t>Professor, Department of Agricultural Microbiology, College of Agriculture, Kerala Agricultural University</w:t>
      </w:r>
    </w:p>
    <w:p w14:paraId="655CCD53" w14:textId="77777777" w:rsidR="00AE18A1" w:rsidRDefault="00AE18A1" w:rsidP="00AE18A1">
      <w:pPr>
        <w:autoSpaceDE w:val="0"/>
        <w:autoSpaceDN w:val="0"/>
        <w:adjustRightInd w:val="0"/>
        <w:jc w:val="center"/>
        <w:rPr>
          <w:rFonts w:ascii="Times-Roman" w:eastAsiaTheme="minorHAnsi" w:hAnsi="Times-Roman" w:cs="Times-Roman"/>
          <w:sz w:val="20"/>
          <w:szCs w:val="20"/>
        </w:rPr>
      </w:pPr>
      <w:r w:rsidRPr="00C21C1D">
        <w:rPr>
          <w:rFonts w:ascii="Times-Roman" w:eastAsiaTheme="minorHAnsi" w:hAnsi="Times-Roman" w:cs="Times-Roman"/>
          <w:sz w:val="20"/>
          <w:szCs w:val="20"/>
          <w:vertAlign w:val="superscript"/>
        </w:rPr>
        <w:t>4</w:t>
      </w:r>
      <w:r w:rsidRPr="00C21C1D">
        <w:rPr>
          <w:rFonts w:ascii="Times-Roman" w:eastAsiaTheme="minorHAnsi" w:hAnsi="Times-Roman" w:cs="Times-Roman"/>
          <w:sz w:val="20"/>
          <w:szCs w:val="20"/>
        </w:rPr>
        <w:t>Professor, Department of Plant Pathology, College of Agriculture, Kerala Agricultural University</w:t>
      </w:r>
    </w:p>
    <w:p w14:paraId="343DDE44" w14:textId="77777777" w:rsidR="00AE18A1" w:rsidRPr="00236D9B" w:rsidRDefault="00AE18A1" w:rsidP="00AE18A1">
      <w:pPr>
        <w:autoSpaceDE w:val="0"/>
        <w:autoSpaceDN w:val="0"/>
        <w:adjustRightInd w:val="0"/>
        <w:jc w:val="center"/>
        <w:rPr>
          <w:rFonts w:ascii="Times-Roman" w:eastAsiaTheme="minorHAnsi" w:hAnsi="Times-Roman" w:cs="Times-Roman"/>
          <w:sz w:val="20"/>
          <w:szCs w:val="20"/>
        </w:rPr>
      </w:pPr>
      <w:r>
        <w:rPr>
          <w:rFonts w:ascii="Times-Roman" w:eastAsiaTheme="minorHAnsi" w:hAnsi="Times-Roman" w:cs="Times-Roman"/>
          <w:sz w:val="20"/>
          <w:szCs w:val="20"/>
          <w:vertAlign w:val="superscript"/>
        </w:rPr>
        <w:t>5</w:t>
      </w:r>
      <w:r w:rsidRPr="00C21C1D">
        <w:rPr>
          <w:rFonts w:ascii="Times-Roman" w:eastAsiaTheme="minorHAnsi" w:hAnsi="Times-Roman" w:cs="Times-Roman"/>
          <w:sz w:val="20"/>
          <w:szCs w:val="20"/>
        </w:rPr>
        <w:t xml:space="preserve">Professor, Department of </w:t>
      </w:r>
      <w:r>
        <w:rPr>
          <w:rFonts w:ascii="Times-Roman" w:eastAsiaTheme="minorHAnsi" w:hAnsi="Times-Roman" w:cs="Times-Roman"/>
          <w:sz w:val="20"/>
          <w:szCs w:val="20"/>
        </w:rPr>
        <w:t>Vegetable Science</w:t>
      </w:r>
      <w:r w:rsidRPr="00C21C1D">
        <w:rPr>
          <w:rFonts w:ascii="Times-Roman" w:eastAsiaTheme="minorHAnsi" w:hAnsi="Times-Roman" w:cs="Times-Roman"/>
          <w:sz w:val="20"/>
          <w:szCs w:val="20"/>
        </w:rPr>
        <w:t>, College of Agriculture, Kerala Agricultural University</w:t>
      </w:r>
    </w:p>
    <w:p w14:paraId="7F6072F4" w14:textId="77777777" w:rsidR="00AE18A1" w:rsidRPr="00BC146C" w:rsidRDefault="00AE18A1" w:rsidP="00AE18A1">
      <w:pPr>
        <w:tabs>
          <w:tab w:val="left" w:pos="3544"/>
          <w:tab w:val="left" w:pos="3686"/>
        </w:tabs>
        <w:spacing w:line="360" w:lineRule="auto"/>
        <w:jc w:val="center"/>
        <w:rPr>
          <w:rFonts w:ascii="Times New Roman" w:hAnsi="Times New Roman" w:cs="Times New Roman"/>
          <w:b/>
          <w:bCs/>
          <w:color w:val="222222"/>
          <w:sz w:val="28"/>
          <w:szCs w:val="28"/>
          <w:shd w:val="clear" w:color="auto" w:fill="FFFFFF"/>
        </w:rPr>
      </w:pPr>
    </w:p>
    <w:p w14:paraId="5581F8E4"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6361758" w14:textId="6B94845E" w:rsidR="00AE3E37" w:rsidRDefault="00A9710C">
      <w:pPr>
        <w:pStyle w:val="Heading3"/>
        <w:spacing w:before="147"/>
        <w:jc w:val="both"/>
      </w:pPr>
      <w:r>
        <w:rPr>
          <w:color w:val="BF5A14"/>
        </w:rPr>
        <w:t>Abstract</w:t>
      </w:r>
      <w:r w:rsidR="00404E5B">
        <w:rPr>
          <w:color w:val="BF5A14"/>
        </w:rPr>
        <w:t xml:space="preserve"> </w:t>
      </w:r>
    </w:p>
    <w:p w14:paraId="1919C4C8" w14:textId="77777777" w:rsidR="00AE18A1" w:rsidRPr="00AE18A1" w:rsidRDefault="00AE18A1" w:rsidP="00AE18A1">
      <w:pPr>
        <w:pStyle w:val="Default"/>
        <w:spacing w:line="360" w:lineRule="auto"/>
        <w:jc w:val="both"/>
        <w:rPr>
          <w:color w:val="auto"/>
          <w:sz w:val="18"/>
          <w:szCs w:val="18"/>
          <w:lang w:val="en-US"/>
        </w:rPr>
      </w:pPr>
      <w:r w:rsidRPr="00AE18A1">
        <w:rPr>
          <w:color w:val="auto"/>
          <w:sz w:val="18"/>
          <w:szCs w:val="18"/>
        </w:rPr>
        <w:t>Tomato (</w:t>
      </w:r>
      <w:r w:rsidRPr="00AE18A1">
        <w:rPr>
          <w:i/>
          <w:iCs/>
          <w:color w:val="auto"/>
          <w:sz w:val="18"/>
          <w:szCs w:val="18"/>
        </w:rPr>
        <w:t xml:space="preserve">Solanum </w:t>
      </w:r>
      <w:proofErr w:type="spellStart"/>
      <w:r w:rsidRPr="00AE18A1">
        <w:rPr>
          <w:i/>
          <w:iCs/>
          <w:color w:val="auto"/>
          <w:sz w:val="18"/>
          <w:szCs w:val="18"/>
        </w:rPr>
        <w:t>lycopersicum</w:t>
      </w:r>
      <w:proofErr w:type="spellEnd"/>
      <w:r w:rsidRPr="00AE18A1">
        <w:rPr>
          <w:i/>
          <w:iCs/>
          <w:color w:val="auto"/>
          <w:sz w:val="18"/>
          <w:szCs w:val="18"/>
        </w:rPr>
        <w:t xml:space="preserve"> </w:t>
      </w:r>
      <w:r w:rsidRPr="00AE18A1">
        <w:rPr>
          <w:color w:val="auto"/>
          <w:sz w:val="18"/>
          <w:szCs w:val="18"/>
        </w:rPr>
        <w:t xml:space="preserve">L.) is one of the most common and widely grown vegetable crop in the world. </w:t>
      </w:r>
      <w:r w:rsidRPr="00AE18A1">
        <w:rPr>
          <w:color w:val="auto"/>
          <w:sz w:val="18"/>
          <w:szCs w:val="18"/>
          <w:shd w:val="clear" w:color="auto" w:fill="FFFFFF"/>
        </w:rPr>
        <w:t>In fact, it is the fifth most important cultivated crop, occupying an area of 4.8 million hectares with a production of 125.4 million tonnes (FAO 2017).</w:t>
      </w:r>
      <w:r w:rsidRPr="00AE18A1">
        <w:rPr>
          <w:rFonts w:ascii="Arial" w:hAnsi="Arial" w:cs="Arial"/>
          <w:color w:val="auto"/>
          <w:sz w:val="18"/>
          <w:szCs w:val="18"/>
          <w:shd w:val="clear" w:color="auto" w:fill="FFFFFF"/>
        </w:rPr>
        <w:t xml:space="preserve"> </w:t>
      </w:r>
      <w:r w:rsidRPr="00AE18A1">
        <w:rPr>
          <w:color w:val="auto"/>
          <w:sz w:val="18"/>
          <w:szCs w:val="18"/>
          <w:shd w:val="clear" w:color="auto" w:fill="FFFFFF"/>
        </w:rPr>
        <w:t xml:space="preserve">Tomato yield is limited by several fungal, bacterial, and viral diseases. Among the fungal diseases, early blight caused by </w:t>
      </w:r>
      <w:r w:rsidRPr="00AE18A1">
        <w:rPr>
          <w:i/>
          <w:iCs/>
          <w:color w:val="auto"/>
          <w:sz w:val="18"/>
          <w:szCs w:val="18"/>
          <w:shd w:val="clear" w:color="auto" w:fill="FFFFFF"/>
        </w:rPr>
        <w:t xml:space="preserve">Alternaria </w:t>
      </w:r>
      <w:proofErr w:type="spellStart"/>
      <w:r w:rsidRPr="00AE18A1">
        <w:rPr>
          <w:i/>
          <w:iCs/>
          <w:color w:val="auto"/>
          <w:sz w:val="18"/>
          <w:szCs w:val="18"/>
          <w:shd w:val="clear" w:color="auto" w:fill="FFFFFF"/>
        </w:rPr>
        <w:t>solani</w:t>
      </w:r>
      <w:proofErr w:type="spellEnd"/>
      <w:r w:rsidRPr="00AE18A1">
        <w:rPr>
          <w:color w:val="auto"/>
          <w:sz w:val="18"/>
          <w:szCs w:val="18"/>
          <w:shd w:val="clear" w:color="auto" w:fill="FFFFFF"/>
        </w:rPr>
        <w:t xml:space="preserve"> is the most common and destructive disease widespread in tropical, subtropical, and temperate regions. </w:t>
      </w:r>
      <w:r w:rsidRPr="00AE18A1">
        <w:rPr>
          <w:color w:val="auto"/>
          <w:sz w:val="18"/>
          <w:szCs w:val="18"/>
        </w:rPr>
        <w:t>It is increasingly becoming a limiting factor for successful cultivation of tomato and causes yield loss in the range of 15–100% (</w:t>
      </w:r>
      <w:proofErr w:type="spellStart"/>
      <w:r w:rsidRPr="00AE18A1">
        <w:rPr>
          <w:color w:val="auto"/>
          <w:sz w:val="18"/>
          <w:szCs w:val="18"/>
        </w:rPr>
        <w:t>Sahu</w:t>
      </w:r>
      <w:proofErr w:type="spellEnd"/>
      <w:r w:rsidRPr="00AE18A1">
        <w:rPr>
          <w:color w:val="auto"/>
          <w:sz w:val="18"/>
          <w:szCs w:val="18"/>
        </w:rPr>
        <w:t xml:space="preserve"> et al</w:t>
      </w:r>
      <w:r w:rsidRPr="00AE18A1">
        <w:rPr>
          <w:i/>
          <w:iCs/>
          <w:color w:val="auto"/>
          <w:sz w:val="18"/>
          <w:szCs w:val="18"/>
        </w:rPr>
        <w:t>.</w:t>
      </w:r>
      <w:r w:rsidRPr="00AE18A1">
        <w:rPr>
          <w:color w:val="auto"/>
          <w:sz w:val="18"/>
          <w:szCs w:val="18"/>
        </w:rPr>
        <w:t xml:space="preserve"> 2013). </w:t>
      </w:r>
      <w:r w:rsidRPr="00AE18A1">
        <w:rPr>
          <w:color w:val="auto"/>
          <w:sz w:val="18"/>
          <w:szCs w:val="18"/>
          <w:lang w:val="en-US"/>
        </w:rPr>
        <w:t xml:space="preserve">Fungicides are commonly used to manage plant pathogens. However, little is known about their effects on the nontarget fungal communities that inhabit inside and outside the plant. These fungicides may have adverse effects on beneficial microbial communities with possible consequences for plant health and productivity. Hence, an amplicon metagenomic approach based on the ITS2 region of fungal rDNA on the </w:t>
      </w:r>
      <w:proofErr w:type="spellStart"/>
      <w:r w:rsidRPr="00AE18A1">
        <w:rPr>
          <w:color w:val="auto"/>
          <w:sz w:val="18"/>
          <w:szCs w:val="18"/>
          <w:lang w:val="en-US"/>
        </w:rPr>
        <w:t>MiSeq</w:t>
      </w:r>
      <w:proofErr w:type="spellEnd"/>
      <w:r w:rsidRPr="00AE18A1">
        <w:rPr>
          <w:color w:val="auto"/>
          <w:sz w:val="18"/>
          <w:szCs w:val="18"/>
          <w:lang w:val="en-US"/>
        </w:rPr>
        <w:t xml:space="preserve"> Illumina platform was used to study the impact of foliar application of two fungicides, viz</w:t>
      </w:r>
      <w:r w:rsidRPr="00AE18A1">
        <w:rPr>
          <w:i/>
          <w:iCs/>
          <w:color w:val="auto"/>
          <w:sz w:val="18"/>
          <w:szCs w:val="18"/>
          <w:lang w:val="en-US"/>
        </w:rPr>
        <w:t>.</w:t>
      </w:r>
      <w:r w:rsidRPr="00AE18A1">
        <w:rPr>
          <w:color w:val="auto"/>
          <w:sz w:val="18"/>
          <w:szCs w:val="18"/>
          <w:lang w:val="en-US"/>
        </w:rPr>
        <w:t xml:space="preserve"> propineb and iprodione + carbendazim on nontarget tomato leaf fungal communities in the context of early blight disease management. Metagenomic analysis revealed that the richness and diversity of tomato leaf fungal populations were adversely affected by the chemical treatments tested. Among the two fungicides, foliar application of contact fungicide propineb imparted less nontargeted effects than the systemic fungicide iprodione + carbendazim. In addition, all samples showed association of pathogenic genera </w:t>
      </w:r>
      <w:r w:rsidRPr="00AE18A1">
        <w:rPr>
          <w:i/>
          <w:iCs/>
          <w:color w:val="auto"/>
          <w:sz w:val="18"/>
          <w:szCs w:val="18"/>
          <w:lang w:val="en-US"/>
        </w:rPr>
        <w:t>Cladosporium</w:t>
      </w:r>
      <w:r w:rsidRPr="00AE18A1">
        <w:rPr>
          <w:color w:val="auto"/>
          <w:sz w:val="18"/>
          <w:szCs w:val="18"/>
          <w:lang w:val="en-US"/>
        </w:rPr>
        <w:t xml:space="preserve">, </w:t>
      </w:r>
      <w:proofErr w:type="spellStart"/>
      <w:r w:rsidRPr="00AE18A1">
        <w:rPr>
          <w:i/>
          <w:iCs/>
          <w:color w:val="auto"/>
          <w:sz w:val="18"/>
          <w:szCs w:val="18"/>
          <w:lang w:val="en-US"/>
        </w:rPr>
        <w:t>Corynespora</w:t>
      </w:r>
      <w:proofErr w:type="spellEnd"/>
      <w:r w:rsidRPr="00AE18A1">
        <w:rPr>
          <w:color w:val="auto"/>
          <w:sz w:val="18"/>
          <w:szCs w:val="18"/>
          <w:lang w:val="en-US"/>
        </w:rPr>
        <w:t>,</w:t>
      </w:r>
      <w:r w:rsidRPr="00AE18A1">
        <w:rPr>
          <w:i/>
          <w:iCs/>
          <w:color w:val="auto"/>
          <w:sz w:val="18"/>
          <w:szCs w:val="18"/>
          <w:lang w:val="en-US"/>
        </w:rPr>
        <w:t xml:space="preserve"> </w:t>
      </w:r>
      <w:proofErr w:type="spellStart"/>
      <w:r w:rsidRPr="00AE18A1">
        <w:rPr>
          <w:i/>
          <w:iCs/>
          <w:color w:val="auto"/>
          <w:sz w:val="18"/>
          <w:szCs w:val="18"/>
          <w:lang w:val="en-US"/>
        </w:rPr>
        <w:t>Pseudocercospora</w:t>
      </w:r>
      <w:proofErr w:type="spellEnd"/>
      <w:r w:rsidRPr="00AE18A1">
        <w:rPr>
          <w:i/>
          <w:iCs/>
          <w:color w:val="auto"/>
          <w:sz w:val="18"/>
          <w:szCs w:val="18"/>
          <w:lang w:val="en-US"/>
        </w:rPr>
        <w:t xml:space="preserve"> </w:t>
      </w:r>
      <w:r w:rsidRPr="00AE18A1">
        <w:rPr>
          <w:color w:val="auto"/>
          <w:sz w:val="18"/>
          <w:szCs w:val="18"/>
          <w:lang w:val="en-US"/>
        </w:rPr>
        <w:t xml:space="preserve">along with early blight pathogen </w:t>
      </w:r>
      <w:r w:rsidRPr="00AE18A1">
        <w:rPr>
          <w:i/>
          <w:iCs/>
          <w:color w:val="auto"/>
          <w:sz w:val="18"/>
          <w:szCs w:val="18"/>
          <w:lang w:val="en-US"/>
        </w:rPr>
        <w:t xml:space="preserve">Alternaria </w:t>
      </w:r>
      <w:r w:rsidRPr="00AE18A1">
        <w:rPr>
          <w:color w:val="auto"/>
          <w:sz w:val="18"/>
          <w:szCs w:val="18"/>
          <w:lang w:val="en-US"/>
        </w:rPr>
        <w:t>on tomato leaves that otherwise remain undetected. Metagenomic studies also revealed a new mode of action for fungicides and bioagents besides their direct effect that is shifting the microbial community structure so that it provides greater resistance against the pathogen.</w:t>
      </w:r>
    </w:p>
    <w:p w14:paraId="3E88EFF9" w14:textId="77777777" w:rsidR="00AE3E37" w:rsidRDefault="00A9710C">
      <w:pPr>
        <w:pStyle w:val="Heading3"/>
        <w:spacing w:before="74"/>
      </w:pPr>
      <w:r>
        <w:rPr>
          <w:b w:val="0"/>
        </w:rPr>
        <w:br w:type="column"/>
      </w:r>
      <w:r>
        <w:rPr>
          <w:color w:val="BF5A14"/>
        </w:rPr>
        <w:t>Image</w:t>
      </w:r>
    </w:p>
    <w:p w14:paraId="266B046B" w14:textId="70ADFBC0" w:rsidR="00AE3E37" w:rsidRDefault="003D065D">
      <w:pPr>
        <w:pStyle w:val="BodyText"/>
        <w:spacing w:before="2"/>
        <w:rPr>
          <w:rFonts w:ascii="Arial"/>
          <w:b/>
          <w:sz w:val="16"/>
        </w:rPr>
      </w:pPr>
      <w:r w:rsidRPr="00C21C1D">
        <w:rPr>
          <w:noProof/>
          <w:sz w:val="20"/>
          <w:szCs w:val="20"/>
          <w:lang w:bidi="ta-IN"/>
        </w:rPr>
        <w:drawing>
          <wp:inline distT="0" distB="0" distL="0" distR="0" wp14:anchorId="5D9FE152" wp14:editId="50F5CCCF">
            <wp:extent cx="3648075" cy="2962275"/>
            <wp:effectExtent l="0" t="0" r="0" b="0"/>
            <wp:docPr id="1" name="Chart 1">
              <a:extLst xmlns:a="http://schemas.openxmlformats.org/drawingml/2006/main">
                <a:ext uri="{FF2B5EF4-FFF2-40B4-BE49-F238E27FC236}">
                  <a16:creationId xmlns:a16="http://schemas.microsoft.com/office/drawing/2014/main" id="{8401C5C9-45BF-4B57-8CC2-23EF285C38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9531FE" w14:textId="621D0815" w:rsidR="005973B9" w:rsidRDefault="005973B9" w:rsidP="005973B9">
      <w:pPr>
        <w:spacing w:line="204" w:lineRule="exact"/>
        <w:rPr>
          <w:rFonts w:ascii="Arial"/>
          <w:b/>
          <w:sz w:val="20"/>
        </w:rPr>
      </w:pPr>
      <w:r>
        <w:rPr>
          <w:rFonts w:ascii="Arial"/>
          <w:b/>
          <w:color w:val="BF5A14"/>
          <w:sz w:val="20"/>
        </w:rPr>
        <w:br/>
        <w:t xml:space="preserve">Recent Publications </w:t>
      </w:r>
    </w:p>
    <w:p w14:paraId="7AA92804" w14:textId="77777777" w:rsidR="003D065D" w:rsidRPr="003D065D" w:rsidRDefault="003D065D" w:rsidP="003D065D">
      <w:pPr>
        <w:pStyle w:val="ListParagraph"/>
        <w:numPr>
          <w:ilvl w:val="0"/>
          <w:numId w:val="3"/>
        </w:numPr>
        <w:tabs>
          <w:tab w:val="left" w:pos="1545"/>
        </w:tabs>
        <w:spacing w:line="240" w:lineRule="auto"/>
        <w:rPr>
          <w:rFonts w:ascii="Times New Roman" w:hAnsi="Times New Roman" w:cs="Times New Roman"/>
          <w:sz w:val="18"/>
          <w:szCs w:val="18"/>
        </w:rPr>
      </w:pPr>
      <w:r w:rsidRPr="003D065D">
        <w:rPr>
          <w:rFonts w:ascii="Times New Roman" w:hAnsi="Times New Roman" w:cs="Times New Roman"/>
          <w:sz w:val="18"/>
          <w:szCs w:val="18"/>
        </w:rPr>
        <w:t xml:space="preserve">Abdelfattah A, Wisniewski M, Nicosia O, </w:t>
      </w:r>
      <w:proofErr w:type="spellStart"/>
      <w:r w:rsidRPr="003D065D">
        <w:rPr>
          <w:rFonts w:ascii="Times New Roman" w:hAnsi="Times New Roman" w:cs="Times New Roman"/>
          <w:sz w:val="18"/>
          <w:szCs w:val="18"/>
        </w:rPr>
        <w:t>Schena</w:t>
      </w:r>
      <w:proofErr w:type="spellEnd"/>
      <w:r w:rsidRPr="003D065D">
        <w:rPr>
          <w:rFonts w:ascii="Times New Roman" w:hAnsi="Times New Roman" w:cs="Times New Roman"/>
          <w:sz w:val="18"/>
          <w:szCs w:val="18"/>
        </w:rPr>
        <w:t xml:space="preserve"> L (2016). Metagenomic analysis of fungal diversity on strawberry plants and the effect of management practices on the fungal community structure of aerial organs. PLoSONE.11(8</w:t>
      </w:r>
      <w:proofErr w:type="gramStart"/>
      <w:r w:rsidRPr="003D065D">
        <w:rPr>
          <w:rFonts w:ascii="Times New Roman" w:hAnsi="Times New Roman" w:cs="Times New Roman"/>
          <w:sz w:val="18"/>
          <w:szCs w:val="18"/>
        </w:rPr>
        <w:t>):e</w:t>
      </w:r>
      <w:proofErr w:type="gramEnd"/>
      <w:r w:rsidRPr="003D065D">
        <w:rPr>
          <w:rFonts w:ascii="Times New Roman" w:hAnsi="Times New Roman" w:cs="Times New Roman"/>
          <w:sz w:val="18"/>
          <w:szCs w:val="18"/>
        </w:rPr>
        <w:t>0160470.</w:t>
      </w:r>
    </w:p>
    <w:p w14:paraId="5F0B1148" w14:textId="77777777" w:rsidR="002B2B87" w:rsidRDefault="003D065D" w:rsidP="002B2B87">
      <w:pPr>
        <w:pStyle w:val="ListParagraph"/>
        <w:numPr>
          <w:ilvl w:val="0"/>
          <w:numId w:val="3"/>
        </w:numPr>
        <w:tabs>
          <w:tab w:val="left" w:pos="1545"/>
        </w:tabs>
        <w:spacing w:line="240" w:lineRule="auto"/>
        <w:rPr>
          <w:rFonts w:ascii="Times New Roman" w:hAnsi="Times New Roman" w:cs="Times New Roman"/>
          <w:sz w:val="18"/>
          <w:szCs w:val="18"/>
        </w:rPr>
      </w:pPr>
      <w:proofErr w:type="spellStart"/>
      <w:r w:rsidRPr="003D065D">
        <w:rPr>
          <w:rFonts w:ascii="Times New Roman" w:hAnsi="Times New Roman" w:cs="Times New Roman"/>
          <w:sz w:val="18"/>
          <w:szCs w:val="18"/>
        </w:rPr>
        <w:t>Balin</w:t>
      </w:r>
      <w:proofErr w:type="spellEnd"/>
      <w:r w:rsidRPr="003D065D">
        <w:rPr>
          <w:rFonts w:ascii="Times New Roman" w:hAnsi="Times New Roman" w:cs="Times New Roman"/>
          <w:sz w:val="18"/>
          <w:szCs w:val="18"/>
        </w:rPr>
        <w:t xml:space="preserve">, P, Stapleton A (2011). Application of an antibiotic resets the maize leaf </w:t>
      </w:r>
      <w:proofErr w:type="spellStart"/>
      <w:r w:rsidRPr="003D065D">
        <w:rPr>
          <w:rFonts w:ascii="Times New Roman" w:hAnsi="Times New Roman" w:cs="Times New Roman"/>
          <w:sz w:val="18"/>
          <w:szCs w:val="18"/>
        </w:rPr>
        <w:t>phyllosphere</w:t>
      </w:r>
      <w:proofErr w:type="spellEnd"/>
      <w:r w:rsidRPr="003D065D">
        <w:rPr>
          <w:rFonts w:ascii="Times New Roman" w:hAnsi="Times New Roman" w:cs="Times New Roman"/>
          <w:sz w:val="18"/>
          <w:szCs w:val="18"/>
        </w:rPr>
        <w:t xml:space="preserve"> community and increases resistance to southern leaf blight. Acta. </w:t>
      </w:r>
      <w:proofErr w:type="spellStart"/>
      <w:r w:rsidRPr="003D065D">
        <w:rPr>
          <w:rFonts w:ascii="Times New Roman" w:hAnsi="Times New Roman" w:cs="Times New Roman"/>
          <w:sz w:val="18"/>
          <w:szCs w:val="18"/>
        </w:rPr>
        <w:t>Horticulturae</w:t>
      </w:r>
      <w:proofErr w:type="spellEnd"/>
      <w:r w:rsidRPr="003D065D">
        <w:rPr>
          <w:rFonts w:ascii="Times New Roman" w:hAnsi="Times New Roman" w:cs="Times New Roman"/>
          <w:i/>
          <w:iCs/>
          <w:sz w:val="18"/>
          <w:szCs w:val="18"/>
        </w:rPr>
        <w:t xml:space="preserve"> </w:t>
      </w:r>
      <w:r w:rsidRPr="003D065D">
        <w:rPr>
          <w:rFonts w:ascii="Times New Roman" w:hAnsi="Times New Roman" w:cs="Times New Roman"/>
          <w:sz w:val="18"/>
          <w:szCs w:val="18"/>
        </w:rPr>
        <w:t>905: 57-62.</w:t>
      </w:r>
    </w:p>
    <w:p w14:paraId="7B3CF01A" w14:textId="1A703E19" w:rsidR="002B2B87" w:rsidRPr="002B2B87" w:rsidRDefault="002B2B87" w:rsidP="002B2B87">
      <w:pPr>
        <w:pStyle w:val="ListParagraph"/>
        <w:numPr>
          <w:ilvl w:val="0"/>
          <w:numId w:val="3"/>
        </w:numPr>
        <w:tabs>
          <w:tab w:val="left" w:pos="1545"/>
        </w:tabs>
        <w:spacing w:line="240" w:lineRule="auto"/>
        <w:rPr>
          <w:rFonts w:ascii="Times New Roman" w:hAnsi="Times New Roman" w:cs="Times New Roman"/>
          <w:sz w:val="18"/>
          <w:szCs w:val="18"/>
        </w:rPr>
      </w:pPr>
      <w:r w:rsidRPr="002B2B87">
        <w:rPr>
          <w:rFonts w:ascii="Times New Roman" w:hAnsi="Times New Roman" w:cs="Times New Roman"/>
          <w:sz w:val="18"/>
          <w:szCs w:val="18"/>
        </w:rPr>
        <w:t xml:space="preserve">Karlsson I, Friberg H, Steinberg </w:t>
      </w:r>
      <w:proofErr w:type="gramStart"/>
      <w:r w:rsidRPr="002B2B87">
        <w:rPr>
          <w:rFonts w:ascii="Times New Roman" w:hAnsi="Times New Roman" w:cs="Times New Roman"/>
          <w:sz w:val="18"/>
          <w:szCs w:val="18"/>
        </w:rPr>
        <w:t>C,  Persson</w:t>
      </w:r>
      <w:proofErr w:type="gramEnd"/>
      <w:r w:rsidRPr="002B2B87">
        <w:rPr>
          <w:rFonts w:ascii="Times New Roman" w:hAnsi="Times New Roman" w:cs="Times New Roman"/>
          <w:sz w:val="18"/>
          <w:szCs w:val="18"/>
        </w:rPr>
        <w:t xml:space="preserve"> P (2014). Fungicide Effects on Fungal Community Composition in the Wheat </w:t>
      </w:r>
      <w:proofErr w:type="spellStart"/>
      <w:r w:rsidRPr="002B2B87">
        <w:rPr>
          <w:rFonts w:ascii="Times New Roman" w:hAnsi="Times New Roman" w:cs="Times New Roman"/>
          <w:sz w:val="18"/>
          <w:szCs w:val="18"/>
        </w:rPr>
        <w:t>Phyllosphere</w:t>
      </w:r>
      <w:proofErr w:type="spellEnd"/>
      <w:r w:rsidRPr="002B2B87">
        <w:rPr>
          <w:rFonts w:ascii="Times New Roman" w:hAnsi="Times New Roman" w:cs="Times New Roman"/>
          <w:sz w:val="18"/>
          <w:szCs w:val="18"/>
        </w:rPr>
        <w:t xml:space="preserve">. </w:t>
      </w:r>
      <w:proofErr w:type="spellStart"/>
      <w:r w:rsidRPr="002B2B87">
        <w:rPr>
          <w:rFonts w:ascii="Times New Roman" w:hAnsi="Times New Roman" w:cs="Times New Roman"/>
          <w:sz w:val="18"/>
          <w:szCs w:val="18"/>
        </w:rPr>
        <w:t>PLoS</w:t>
      </w:r>
      <w:proofErr w:type="spellEnd"/>
      <w:r w:rsidRPr="002B2B87">
        <w:rPr>
          <w:rFonts w:ascii="Times New Roman" w:hAnsi="Times New Roman" w:cs="Times New Roman"/>
          <w:sz w:val="18"/>
          <w:szCs w:val="18"/>
        </w:rPr>
        <w:t xml:space="preserve"> ONE 9(11</w:t>
      </w:r>
      <w:proofErr w:type="gramStart"/>
      <w:r w:rsidRPr="002B2B87">
        <w:rPr>
          <w:rFonts w:ascii="Times New Roman" w:hAnsi="Times New Roman" w:cs="Times New Roman"/>
          <w:sz w:val="18"/>
          <w:szCs w:val="18"/>
        </w:rPr>
        <w:t>):e</w:t>
      </w:r>
      <w:proofErr w:type="gramEnd"/>
      <w:r w:rsidRPr="002B2B87">
        <w:rPr>
          <w:rFonts w:ascii="Times New Roman" w:hAnsi="Times New Roman" w:cs="Times New Roman"/>
          <w:sz w:val="18"/>
          <w:szCs w:val="18"/>
        </w:rPr>
        <w:t>111786.</w:t>
      </w:r>
    </w:p>
    <w:p w14:paraId="6B963E18" w14:textId="77777777" w:rsidR="002B2B87" w:rsidRPr="002B2B87" w:rsidRDefault="002B2B87" w:rsidP="002B2B87">
      <w:pPr>
        <w:pStyle w:val="ListParagraph"/>
        <w:numPr>
          <w:ilvl w:val="0"/>
          <w:numId w:val="3"/>
        </w:numPr>
        <w:spacing w:before="240" w:line="240" w:lineRule="auto"/>
        <w:rPr>
          <w:rFonts w:ascii="Times New Roman" w:eastAsia="Times New Roman" w:hAnsi="Times New Roman" w:cs="Times New Roman"/>
          <w:sz w:val="20"/>
          <w:szCs w:val="20"/>
          <w:lang w:eastAsia="en-IN"/>
        </w:rPr>
      </w:pPr>
      <w:proofErr w:type="spellStart"/>
      <w:r w:rsidRPr="002B2B87">
        <w:rPr>
          <w:rFonts w:ascii="Times New Roman" w:hAnsi="Times New Roman" w:cs="Times New Roman"/>
          <w:sz w:val="18"/>
          <w:szCs w:val="18"/>
        </w:rPr>
        <w:t>Perazzolli</w:t>
      </w:r>
      <w:proofErr w:type="spellEnd"/>
      <w:r w:rsidRPr="002B2B87">
        <w:rPr>
          <w:rFonts w:ascii="Times New Roman" w:hAnsi="Times New Roman" w:cs="Times New Roman"/>
          <w:sz w:val="18"/>
          <w:szCs w:val="18"/>
        </w:rPr>
        <w:t xml:space="preserve"> M, </w:t>
      </w:r>
      <w:proofErr w:type="spellStart"/>
      <w:r w:rsidRPr="002B2B87">
        <w:rPr>
          <w:rFonts w:ascii="Times New Roman" w:hAnsi="Times New Roman" w:cs="Times New Roman"/>
          <w:sz w:val="18"/>
          <w:szCs w:val="18"/>
        </w:rPr>
        <w:t>Antonielli</w:t>
      </w:r>
      <w:proofErr w:type="spellEnd"/>
      <w:r w:rsidRPr="002B2B87">
        <w:rPr>
          <w:rFonts w:ascii="Times New Roman" w:hAnsi="Times New Roman" w:cs="Times New Roman"/>
          <w:sz w:val="18"/>
          <w:szCs w:val="18"/>
        </w:rPr>
        <w:t xml:space="preserve"> L, </w:t>
      </w:r>
      <w:proofErr w:type="spellStart"/>
      <w:r w:rsidRPr="002B2B87">
        <w:rPr>
          <w:rFonts w:ascii="Times New Roman" w:hAnsi="Times New Roman" w:cs="Times New Roman"/>
          <w:sz w:val="18"/>
          <w:szCs w:val="18"/>
        </w:rPr>
        <w:t>Storari</w:t>
      </w:r>
      <w:proofErr w:type="spellEnd"/>
      <w:r w:rsidRPr="002B2B87">
        <w:rPr>
          <w:rFonts w:ascii="Times New Roman" w:hAnsi="Times New Roman" w:cs="Times New Roman"/>
          <w:sz w:val="18"/>
          <w:szCs w:val="18"/>
        </w:rPr>
        <w:t xml:space="preserve"> M, Puopolo G, </w:t>
      </w:r>
      <w:proofErr w:type="spellStart"/>
      <w:r w:rsidRPr="002B2B87">
        <w:rPr>
          <w:rFonts w:ascii="Times New Roman" w:hAnsi="Times New Roman" w:cs="Times New Roman"/>
          <w:sz w:val="18"/>
          <w:szCs w:val="18"/>
        </w:rPr>
        <w:t>Pancher</w:t>
      </w:r>
      <w:proofErr w:type="spellEnd"/>
      <w:r w:rsidRPr="002B2B87">
        <w:rPr>
          <w:rFonts w:ascii="Times New Roman" w:hAnsi="Times New Roman" w:cs="Times New Roman"/>
          <w:sz w:val="18"/>
          <w:szCs w:val="18"/>
        </w:rPr>
        <w:t xml:space="preserve"> </w:t>
      </w:r>
      <w:proofErr w:type="gramStart"/>
      <w:r w:rsidRPr="002B2B87">
        <w:rPr>
          <w:rFonts w:ascii="Times New Roman" w:hAnsi="Times New Roman" w:cs="Times New Roman"/>
          <w:sz w:val="18"/>
          <w:szCs w:val="18"/>
        </w:rPr>
        <w:t xml:space="preserve">M,  </w:t>
      </w:r>
      <w:proofErr w:type="spellStart"/>
      <w:r w:rsidRPr="002B2B87">
        <w:rPr>
          <w:rFonts w:ascii="Times New Roman" w:hAnsi="Times New Roman" w:cs="Times New Roman"/>
          <w:sz w:val="18"/>
          <w:szCs w:val="18"/>
        </w:rPr>
        <w:t>Giovannini</w:t>
      </w:r>
      <w:proofErr w:type="spellEnd"/>
      <w:proofErr w:type="gramEnd"/>
      <w:r w:rsidRPr="002B2B87">
        <w:rPr>
          <w:rFonts w:ascii="Times New Roman" w:hAnsi="Times New Roman" w:cs="Times New Roman"/>
          <w:sz w:val="18"/>
          <w:szCs w:val="18"/>
        </w:rPr>
        <w:t xml:space="preserve">, O (2014). Resilience of the natural </w:t>
      </w:r>
      <w:proofErr w:type="spellStart"/>
      <w:r w:rsidRPr="002B2B87">
        <w:rPr>
          <w:rFonts w:ascii="Times New Roman" w:hAnsi="Times New Roman" w:cs="Times New Roman"/>
          <w:sz w:val="18"/>
          <w:szCs w:val="18"/>
        </w:rPr>
        <w:t>phyllosphere</w:t>
      </w:r>
      <w:proofErr w:type="spellEnd"/>
      <w:r w:rsidRPr="002B2B87">
        <w:rPr>
          <w:rFonts w:ascii="Times New Roman" w:hAnsi="Times New Roman" w:cs="Times New Roman"/>
          <w:sz w:val="18"/>
          <w:szCs w:val="18"/>
        </w:rPr>
        <w:t xml:space="preserve"> microbiota of the grapevine to chemical and biological pesticides. </w:t>
      </w:r>
      <w:r w:rsidRPr="002B2B87">
        <w:rPr>
          <w:rFonts w:ascii="Times New Roman" w:hAnsi="Times New Roman" w:cs="Times New Roman"/>
          <w:iCs/>
          <w:sz w:val="18"/>
          <w:szCs w:val="18"/>
        </w:rPr>
        <w:t xml:space="preserve">Appl. Environ. Microbiol. </w:t>
      </w:r>
      <w:r w:rsidRPr="002B2B87">
        <w:rPr>
          <w:rFonts w:ascii="Times New Roman" w:hAnsi="Times New Roman" w:cs="Times New Roman"/>
          <w:sz w:val="18"/>
          <w:szCs w:val="18"/>
        </w:rPr>
        <w:t>80: 3585–3596</w:t>
      </w:r>
      <w:r w:rsidRPr="002B2B87">
        <w:rPr>
          <w:rFonts w:ascii="Times New Roman" w:hAnsi="Times New Roman" w:cs="Times New Roman"/>
          <w:sz w:val="20"/>
          <w:szCs w:val="20"/>
        </w:rPr>
        <w:t>.</w:t>
      </w:r>
    </w:p>
    <w:p w14:paraId="31B57435" w14:textId="177A29AC" w:rsidR="005973B9" w:rsidRPr="003E6756" w:rsidRDefault="002B2B87" w:rsidP="003E6756">
      <w:pPr>
        <w:pStyle w:val="ListParagraph"/>
        <w:numPr>
          <w:ilvl w:val="0"/>
          <w:numId w:val="3"/>
        </w:numPr>
        <w:spacing w:before="240" w:line="240" w:lineRule="auto"/>
        <w:rPr>
          <w:rFonts w:ascii="Times New Roman" w:hAnsi="Times New Roman" w:cs="Times New Roman"/>
          <w:sz w:val="18"/>
          <w:szCs w:val="18"/>
        </w:rPr>
      </w:pPr>
      <w:r w:rsidRPr="002B2B87">
        <w:rPr>
          <w:rFonts w:ascii="Times New Roman" w:hAnsi="Times New Roman" w:cs="Times New Roman"/>
          <w:sz w:val="18"/>
          <w:szCs w:val="18"/>
        </w:rPr>
        <w:t xml:space="preserve">Singh S, Gupta R, Kumari M, Sharma S. (2015). Non target effects of chemical pesticides and biological pesticide on </w:t>
      </w:r>
      <w:proofErr w:type="spellStart"/>
      <w:r w:rsidRPr="002B2B87">
        <w:rPr>
          <w:rFonts w:ascii="Times New Roman" w:hAnsi="Times New Roman" w:cs="Times New Roman"/>
          <w:sz w:val="18"/>
          <w:szCs w:val="18"/>
        </w:rPr>
        <w:t>rhizospheric</w:t>
      </w:r>
      <w:proofErr w:type="spellEnd"/>
      <w:r w:rsidRPr="002B2B87">
        <w:rPr>
          <w:rFonts w:ascii="Times New Roman" w:hAnsi="Times New Roman" w:cs="Times New Roman"/>
          <w:sz w:val="18"/>
          <w:szCs w:val="18"/>
        </w:rPr>
        <w:t xml:space="preserve"> microbial community structure and function in </w:t>
      </w:r>
      <w:r w:rsidRPr="002B2B87">
        <w:rPr>
          <w:rFonts w:ascii="Times New Roman" w:hAnsi="Times New Roman" w:cs="Times New Roman"/>
          <w:i/>
          <w:iCs/>
          <w:sz w:val="18"/>
          <w:szCs w:val="18"/>
        </w:rPr>
        <w:t>Vigna radiata</w:t>
      </w:r>
      <w:r w:rsidRPr="002B2B87">
        <w:rPr>
          <w:rFonts w:ascii="Times New Roman" w:hAnsi="Times New Roman" w:cs="Times New Roman"/>
          <w:sz w:val="18"/>
          <w:szCs w:val="18"/>
        </w:rPr>
        <w:t xml:space="preserve">. </w:t>
      </w:r>
      <w:r w:rsidRPr="002B2B87">
        <w:rPr>
          <w:rFonts w:ascii="Times New Roman" w:hAnsi="Times New Roman" w:cs="Times New Roman"/>
          <w:i/>
          <w:sz w:val="18"/>
          <w:szCs w:val="18"/>
        </w:rPr>
        <w:t xml:space="preserve">Environ. </w:t>
      </w:r>
      <w:r w:rsidRPr="002B2B87">
        <w:rPr>
          <w:rFonts w:ascii="Times New Roman" w:hAnsi="Times New Roman" w:cs="Times New Roman"/>
          <w:iCs/>
          <w:sz w:val="18"/>
          <w:szCs w:val="18"/>
        </w:rPr>
        <w:t xml:space="preserve">Sci. </w:t>
      </w:r>
      <w:proofErr w:type="spellStart"/>
      <w:r w:rsidRPr="002B2B87">
        <w:rPr>
          <w:rFonts w:ascii="Times New Roman" w:hAnsi="Times New Roman" w:cs="Times New Roman"/>
          <w:iCs/>
          <w:sz w:val="18"/>
          <w:szCs w:val="18"/>
        </w:rPr>
        <w:t>Pollut</w:t>
      </w:r>
      <w:proofErr w:type="spellEnd"/>
      <w:r w:rsidRPr="002B2B87">
        <w:rPr>
          <w:rFonts w:ascii="Times New Roman" w:hAnsi="Times New Roman" w:cs="Times New Roman"/>
          <w:iCs/>
          <w:sz w:val="18"/>
          <w:szCs w:val="18"/>
        </w:rPr>
        <w:t>. Res.</w:t>
      </w:r>
      <w:r w:rsidRPr="002B2B87">
        <w:rPr>
          <w:rFonts w:ascii="Times New Roman" w:hAnsi="Times New Roman" w:cs="Times New Roman"/>
          <w:i/>
          <w:sz w:val="18"/>
          <w:szCs w:val="18"/>
        </w:rPr>
        <w:t xml:space="preserve"> </w:t>
      </w:r>
      <w:r w:rsidRPr="002B2B87">
        <w:rPr>
          <w:rFonts w:ascii="Times New Roman" w:hAnsi="Times New Roman" w:cs="Times New Roman"/>
          <w:iCs/>
          <w:sz w:val="18"/>
          <w:szCs w:val="18"/>
        </w:rPr>
        <w:t xml:space="preserve">12: </w:t>
      </w:r>
      <w:r w:rsidRPr="002B2B87">
        <w:rPr>
          <w:rFonts w:ascii="Times New Roman" w:hAnsi="Times New Roman" w:cs="Times New Roman"/>
          <w:sz w:val="18"/>
          <w:szCs w:val="18"/>
        </w:rPr>
        <w:t>1</w:t>
      </w:r>
      <w:r w:rsidRPr="002B2B87">
        <w:rPr>
          <w:rFonts w:ascii="Times New Roman" w:eastAsia="AdvOT82c4f4c4+20" w:hAnsi="Times New Roman" w:cs="Times New Roman"/>
          <w:sz w:val="18"/>
          <w:szCs w:val="18"/>
        </w:rPr>
        <w:t>–</w:t>
      </w:r>
      <w:r w:rsidRPr="002B2B87">
        <w:rPr>
          <w:rFonts w:ascii="Times New Roman" w:hAnsi="Times New Roman" w:cs="Times New Roman"/>
          <w:sz w:val="18"/>
          <w:szCs w:val="18"/>
        </w:rPr>
        <w:t>11.</w:t>
      </w:r>
    </w:p>
    <w:p w14:paraId="0FE25428" w14:textId="33E43794"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78C331F5" w14:textId="2F1A6769" w:rsidR="00AE3E37" w:rsidRDefault="00AE3E37">
      <w:pPr>
        <w:pStyle w:val="BodyText"/>
        <w:rPr>
          <w:rFonts w:ascii="Calibri"/>
          <w:sz w:val="20"/>
        </w:rPr>
      </w:pPr>
    </w:p>
    <w:p w14:paraId="73608361" w14:textId="2E113B3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1D113E4" wp14:editId="1CF4C2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969C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FCFF40" w14:textId="1F55F1D7" w:rsidR="00F45258" w:rsidRPr="00F45258" w:rsidRDefault="008756E6" w:rsidP="00F45258">
      <w:pPr>
        <w:ind w:right="1110"/>
        <w:jc w:val="both"/>
        <w:rPr>
          <w:rFonts w:ascii="Times New Roman" w:hAnsi="Times New Roman" w:cs="Times New Roman"/>
          <w:i/>
          <w:sz w:val="16"/>
          <w:szCs w:val="16"/>
        </w:rPr>
      </w:pPr>
      <w:r>
        <w:rPr>
          <w:noProof/>
        </w:rPr>
        <w:t xml:space="preserve">   </w:t>
      </w:r>
      <w:r w:rsidR="00F45258">
        <w:rPr>
          <w:noProof/>
        </w:rPr>
        <w:drawing>
          <wp:inline distT="0" distB="0" distL="0" distR="0" wp14:anchorId="6A8575DB" wp14:editId="1D07376A">
            <wp:extent cx="47636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76363" cy="625069"/>
                    </a:xfrm>
                    <a:prstGeom prst="rect">
                      <a:avLst/>
                    </a:prstGeom>
                    <a:noFill/>
                    <a:ln>
                      <a:noFill/>
                    </a:ln>
                  </pic:spPr>
                </pic:pic>
              </a:graphicData>
            </a:graphic>
          </wp:inline>
        </w:drawing>
      </w:r>
      <w:r>
        <w:rPr>
          <w:noProof/>
        </w:rPr>
        <w:t xml:space="preserve"> </w:t>
      </w:r>
      <w:r w:rsidR="00B16613">
        <w:rPr>
          <w:noProof/>
        </w:rPr>
        <w:t xml:space="preserve">  </w:t>
      </w:r>
      <w:r w:rsidR="00F45258" w:rsidRPr="00F45258">
        <w:rPr>
          <w:rFonts w:ascii="Times New Roman" w:hAnsi="Times New Roman" w:cs="Times New Roman"/>
          <w:sz w:val="16"/>
          <w:szCs w:val="16"/>
          <w:shd w:val="clear" w:color="auto" w:fill="FFFFFF"/>
        </w:rPr>
        <w:t xml:space="preserve">I am passionate about microbial community structure and their interaction with various micro and macro environment.  My six years of study on plant pathology and practical field work experience have strongly confirmed microbial biodiversity and </w:t>
      </w:r>
      <w:proofErr w:type="spellStart"/>
      <w:r w:rsidR="00F45258" w:rsidRPr="00F45258">
        <w:rPr>
          <w:rFonts w:ascii="Times New Roman" w:hAnsi="Times New Roman" w:cs="Times New Roman"/>
          <w:sz w:val="16"/>
          <w:szCs w:val="16"/>
          <w:shd w:val="clear" w:color="auto" w:fill="FFFFFF"/>
        </w:rPr>
        <w:t>tritrophic</w:t>
      </w:r>
      <w:proofErr w:type="spellEnd"/>
      <w:r w:rsidR="00F45258" w:rsidRPr="00F45258">
        <w:rPr>
          <w:rFonts w:ascii="Times New Roman" w:hAnsi="Times New Roman" w:cs="Times New Roman"/>
          <w:sz w:val="16"/>
          <w:szCs w:val="16"/>
          <w:shd w:val="clear" w:color="auto" w:fill="FFFFFF"/>
        </w:rPr>
        <w:t xml:space="preserve"> interaction between plant- pathogens- -beneficial microbes as research career choice for me. I am now looking forward to pursue research focused on my passion to explore more on the subject.</w:t>
      </w:r>
    </w:p>
    <w:p w14:paraId="1DBBEEC4" w14:textId="20D90AA6" w:rsidR="00AE3E37" w:rsidRPr="00F45258" w:rsidRDefault="00AE3E37" w:rsidP="00F45258">
      <w:pPr>
        <w:spacing w:before="92"/>
        <w:ind w:right="4234"/>
        <w:rPr>
          <w:rFonts w:ascii="Times New Roman" w:hAnsi="Times New Roman" w:cs="Times New Roman"/>
          <w:sz w:val="16"/>
          <w:szCs w:val="16"/>
        </w:rPr>
      </w:pPr>
    </w:p>
    <w:p w14:paraId="4DC3A646" w14:textId="77830F88" w:rsidR="00AE3E37" w:rsidRPr="00F45258" w:rsidRDefault="00A9710C">
      <w:pPr>
        <w:spacing w:before="62"/>
        <w:ind w:left="4217" w:right="4235"/>
        <w:jc w:val="center"/>
        <w:rPr>
          <w:rFonts w:ascii="Times New Roman" w:hAnsi="Times New Roman" w:cs="Times New Roman"/>
          <w:sz w:val="16"/>
          <w:szCs w:val="16"/>
        </w:rPr>
      </w:pPr>
      <w:r w:rsidRPr="00F45258">
        <w:rPr>
          <w:rFonts w:ascii="Times New Roman" w:hAnsi="Times New Roman" w:cs="Times New Roman"/>
          <w:sz w:val="16"/>
          <w:szCs w:val="16"/>
        </w:rPr>
        <w:t xml:space="preserve">Email: </w:t>
      </w:r>
      <w:r w:rsidR="00F45258" w:rsidRPr="00F45258">
        <w:rPr>
          <w:rFonts w:ascii="Times New Roman" w:hAnsi="Times New Roman" w:cs="Times New Roman"/>
          <w:sz w:val="16"/>
          <w:szCs w:val="16"/>
        </w:rPr>
        <w:t>sumbula.v@kau.in</w:t>
      </w:r>
    </w:p>
    <w:p w14:paraId="65CEB9C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9425CE5" wp14:editId="51F2708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7894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6BAB64E" w14:textId="77777777" w:rsidR="00AE3E37" w:rsidRDefault="00AE3E37">
      <w:pPr>
        <w:pStyle w:val="BodyText"/>
        <w:rPr>
          <w:rFonts w:ascii="Arial"/>
          <w:sz w:val="20"/>
        </w:rPr>
      </w:pPr>
    </w:p>
    <w:p w14:paraId="03F09718" w14:textId="77777777" w:rsidR="00AE3E37" w:rsidRDefault="00AE3E37">
      <w:pPr>
        <w:pStyle w:val="BodyText"/>
        <w:rPr>
          <w:rFonts w:ascii="Arial"/>
          <w:sz w:val="20"/>
        </w:rPr>
      </w:pPr>
    </w:p>
    <w:p w14:paraId="3FE13582" w14:textId="77777777" w:rsidR="00AE3E37" w:rsidRDefault="00AE3E37">
      <w:pPr>
        <w:pStyle w:val="BodyText"/>
        <w:spacing w:before="7"/>
        <w:rPr>
          <w:rFonts w:ascii="Arial"/>
          <w:sz w:val="29"/>
        </w:rPr>
      </w:pPr>
    </w:p>
    <w:p w14:paraId="3DCE8223" w14:textId="77777777" w:rsidR="00AE3E37" w:rsidRPr="00F45258" w:rsidRDefault="00A9710C" w:rsidP="000534A1">
      <w:pPr>
        <w:spacing w:before="39"/>
        <w:ind w:left="100"/>
        <w:rPr>
          <w:rFonts w:ascii="Times New Roman" w:hAnsi="Times New Roman" w:cs="Times New Roman"/>
          <w:b/>
          <w:sz w:val="18"/>
          <w:szCs w:val="18"/>
        </w:rPr>
      </w:pPr>
      <w:r w:rsidRPr="00B21A57">
        <w:rPr>
          <w:rFonts w:ascii="Minion Pro"/>
          <w:b/>
          <w:sz w:val="20"/>
        </w:rPr>
        <w:t>Notes/Comments:</w:t>
      </w:r>
    </w:p>
    <w:p w14:paraId="599830D6" w14:textId="423DA5F3" w:rsidR="00F45258" w:rsidRPr="00F45258" w:rsidRDefault="00F45258" w:rsidP="00F45258">
      <w:pPr>
        <w:ind w:right="543"/>
        <w:rPr>
          <w:rFonts w:ascii="Times New Roman" w:hAnsi="Times New Roman" w:cs="Times New Roman"/>
          <w:sz w:val="18"/>
          <w:szCs w:val="18"/>
        </w:rPr>
      </w:pPr>
      <w:bookmarkStart w:id="1" w:name="_GoBack"/>
      <w:bookmarkEnd w:id="1"/>
    </w:p>
    <w:p w14:paraId="3E96744F" w14:textId="77777777" w:rsidR="00F45258" w:rsidRPr="00F45258" w:rsidRDefault="00F45258" w:rsidP="00F45258">
      <w:pPr>
        <w:spacing w:line="360" w:lineRule="auto"/>
        <w:jc w:val="center"/>
        <w:rPr>
          <w:rFonts w:ascii="Times New Roman" w:hAnsi="Times New Roman" w:cs="Times New Roman"/>
          <w:b/>
          <w:sz w:val="18"/>
          <w:szCs w:val="18"/>
        </w:rPr>
      </w:pPr>
      <w:r w:rsidRPr="00F45258">
        <w:rPr>
          <w:rFonts w:ascii="Times New Roman" w:hAnsi="Times New Roman" w:cs="Times New Roman"/>
          <w:b/>
          <w:sz w:val="18"/>
          <w:szCs w:val="18"/>
        </w:rPr>
        <w:t>Research Article (International)</w:t>
      </w:r>
    </w:p>
    <w:p w14:paraId="2CF8CA20" w14:textId="77777777" w:rsidR="00F45258" w:rsidRPr="00F45258" w:rsidRDefault="00F45258" w:rsidP="00F45258">
      <w:pPr>
        <w:pStyle w:val="ListParagraph"/>
        <w:widowControl/>
        <w:numPr>
          <w:ilvl w:val="0"/>
          <w:numId w:val="4"/>
        </w:numPr>
        <w:spacing w:before="0" w:line="276" w:lineRule="auto"/>
        <w:ind w:left="360"/>
        <w:contextualSpacing/>
        <w:rPr>
          <w:rFonts w:ascii="Times New Roman" w:hAnsi="Times New Roman" w:cs="Times New Roman"/>
          <w:b/>
          <w:sz w:val="18"/>
          <w:szCs w:val="18"/>
        </w:rPr>
      </w:pPr>
      <w:r w:rsidRPr="00F45258">
        <w:rPr>
          <w:rFonts w:ascii="Times New Roman" w:hAnsi="Times New Roman" w:cs="Times New Roman"/>
          <w:b/>
          <w:bCs/>
          <w:sz w:val="18"/>
          <w:szCs w:val="18"/>
          <w:shd w:val="clear" w:color="auto" w:fill="FCFCFC"/>
        </w:rPr>
        <w:t>Sumbula, V</w:t>
      </w:r>
      <w:r w:rsidRPr="00F45258">
        <w:rPr>
          <w:rFonts w:ascii="Times New Roman" w:hAnsi="Times New Roman" w:cs="Times New Roman"/>
          <w:sz w:val="18"/>
          <w:szCs w:val="18"/>
          <w:shd w:val="clear" w:color="auto" w:fill="FCFCFC"/>
        </w:rPr>
        <w:t xml:space="preserve">., Kurian, P.S., </w:t>
      </w:r>
      <w:proofErr w:type="spellStart"/>
      <w:r w:rsidRPr="00F45258">
        <w:rPr>
          <w:rFonts w:ascii="Times New Roman" w:hAnsi="Times New Roman" w:cs="Times New Roman"/>
          <w:sz w:val="18"/>
          <w:szCs w:val="18"/>
          <w:shd w:val="clear" w:color="auto" w:fill="FCFCFC"/>
        </w:rPr>
        <w:t>Girija</w:t>
      </w:r>
      <w:proofErr w:type="spellEnd"/>
      <w:r w:rsidRPr="00F45258">
        <w:rPr>
          <w:rFonts w:ascii="Times New Roman" w:hAnsi="Times New Roman" w:cs="Times New Roman"/>
          <w:sz w:val="18"/>
          <w:szCs w:val="18"/>
          <w:shd w:val="clear" w:color="auto" w:fill="FCFCFC"/>
        </w:rPr>
        <w:t>, D., Cherian, K</w:t>
      </w:r>
      <w:r w:rsidRPr="00F45258">
        <w:rPr>
          <w:rFonts w:ascii="Times New Roman" w:hAnsi="Times New Roman" w:cs="Times New Roman"/>
          <w:i/>
          <w:iCs/>
          <w:sz w:val="18"/>
          <w:szCs w:val="18"/>
          <w:shd w:val="clear" w:color="auto" w:fill="FCFCFC"/>
        </w:rPr>
        <w:t xml:space="preserve">. </w:t>
      </w:r>
      <w:r w:rsidRPr="00F45258">
        <w:rPr>
          <w:rFonts w:ascii="Times New Roman" w:hAnsi="Times New Roman" w:cs="Times New Roman"/>
          <w:sz w:val="18"/>
          <w:szCs w:val="18"/>
          <w:shd w:val="clear" w:color="auto" w:fill="FCFCFC"/>
        </w:rPr>
        <w:t>A. 2021</w:t>
      </w:r>
      <w:r w:rsidRPr="00F45258">
        <w:rPr>
          <w:rFonts w:ascii="Times New Roman" w:hAnsi="Times New Roman" w:cs="Times New Roman"/>
          <w:i/>
          <w:iCs/>
          <w:sz w:val="18"/>
          <w:szCs w:val="18"/>
          <w:shd w:val="clear" w:color="auto" w:fill="FCFCFC"/>
        </w:rPr>
        <w:t>.</w:t>
      </w:r>
      <w:r w:rsidRPr="00F45258">
        <w:rPr>
          <w:rFonts w:ascii="Times New Roman" w:hAnsi="Times New Roman" w:cs="Times New Roman"/>
          <w:sz w:val="18"/>
          <w:szCs w:val="18"/>
          <w:shd w:val="clear" w:color="auto" w:fill="FCFCFC"/>
        </w:rPr>
        <w:t> Impact of foliar application of fungicides on tomato leaf fungal community structure revealed by metagenomic analysis. </w:t>
      </w:r>
      <w:r w:rsidRPr="00F45258">
        <w:rPr>
          <w:rFonts w:ascii="Times New Roman" w:hAnsi="Times New Roman" w:cs="Times New Roman"/>
          <w:i/>
          <w:iCs/>
          <w:sz w:val="18"/>
          <w:szCs w:val="18"/>
          <w:shd w:val="clear" w:color="auto" w:fill="FCFCFC"/>
        </w:rPr>
        <w:t>Folia Microbiol</w:t>
      </w:r>
      <w:r w:rsidRPr="00F45258">
        <w:rPr>
          <w:rFonts w:ascii="Times New Roman" w:hAnsi="Times New Roman" w:cs="Times New Roman"/>
          <w:sz w:val="18"/>
          <w:szCs w:val="18"/>
          <w:shd w:val="clear" w:color="auto" w:fill="FCFCFC"/>
        </w:rPr>
        <w:t>. https://doi.org/10.1007/s12223-021-00920-x</w:t>
      </w:r>
      <w:r w:rsidRPr="00F45258">
        <w:rPr>
          <w:rFonts w:ascii="Times New Roman" w:hAnsi="Times New Roman" w:cs="Times New Roman"/>
          <w:b/>
          <w:sz w:val="18"/>
          <w:szCs w:val="18"/>
        </w:rPr>
        <w:t xml:space="preserve"> </w:t>
      </w:r>
    </w:p>
    <w:p w14:paraId="5F6EF5C8" w14:textId="77777777" w:rsidR="00F45258" w:rsidRPr="00F45258" w:rsidRDefault="00F45258" w:rsidP="00F45258">
      <w:pPr>
        <w:pStyle w:val="ListParagraph"/>
        <w:spacing w:line="276" w:lineRule="auto"/>
        <w:ind w:left="360" w:firstLine="0"/>
        <w:rPr>
          <w:rFonts w:ascii="Times New Roman" w:hAnsi="Times New Roman" w:cs="Times New Roman"/>
          <w:b/>
          <w:sz w:val="18"/>
          <w:szCs w:val="18"/>
        </w:rPr>
      </w:pPr>
    </w:p>
    <w:p w14:paraId="3ED7D06C" w14:textId="77777777" w:rsidR="00F45258" w:rsidRPr="00F45258" w:rsidRDefault="00F45258" w:rsidP="00F45258">
      <w:pPr>
        <w:pStyle w:val="ListParagraph"/>
        <w:widowControl/>
        <w:numPr>
          <w:ilvl w:val="0"/>
          <w:numId w:val="4"/>
        </w:numPr>
        <w:spacing w:before="0" w:line="276" w:lineRule="auto"/>
        <w:ind w:left="360"/>
        <w:contextualSpacing/>
        <w:rPr>
          <w:rFonts w:ascii="Times New Roman" w:hAnsi="Times New Roman" w:cs="Times New Roman"/>
          <w:bCs/>
          <w:sz w:val="18"/>
          <w:szCs w:val="18"/>
        </w:rPr>
      </w:pPr>
      <w:r w:rsidRPr="00F45258">
        <w:rPr>
          <w:rFonts w:ascii="Times New Roman" w:hAnsi="Times New Roman" w:cs="Times New Roman"/>
          <w:b/>
          <w:sz w:val="18"/>
          <w:szCs w:val="18"/>
        </w:rPr>
        <w:t>Sumbula, V</w:t>
      </w:r>
      <w:r w:rsidRPr="00F45258">
        <w:rPr>
          <w:rFonts w:ascii="Times New Roman" w:hAnsi="Times New Roman" w:cs="Times New Roman"/>
          <w:bCs/>
          <w:sz w:val="18"/>
          <w:szCs w:val="18"/>
        </w:rPr>
        <w:t xml:space="preserve">., Kurian, P.S, </w:t>
      </w:r>
      <w:proofErr w:type="spellStart"/>
      <w:r w:rsidRPr="00F45258">
        <w:rPr>
          <w:rFonts w:ascii="Times New Roman" w:hAnsi="Times New Roman" w:cs="Times New Roman"/>
          <w:bCs/>
          <w:sz w:val="18"/>
          <w:szCs w:val="18"/>
        </w:rPr>
        <w:t>Girija</w:t>
      </w:r>
      <w:proofErr w:type="spellEnd"/>
      <w:r w:rsidRPr="00F45258">
        <w:rPr>
          <w:rFonts w:ascii="Times New Roman" w:hAnsi="Times New Roman" w:cs="Times New Roman"/>
          <w:bCs/>
          <w:sz w:val="18"/>
          <w:szCs w:val="18"/>
        </w:rPr>
        <w:t>, D., Cherian, K. A. 2020. Metagenomic analysis of bacterial diversity on tomato (</w:t>
      </w:r>
      <w:r w:rsidRPr="00F45258">
        <w:rPr>
          <w:rFonts w:ascii="Times New Roman" w:hAnsi="Times New Roman" w:cs="Times New Roman"/>
          <w:bCs/>
          <w:i/>
          <w:iCs/>
          <w:sz w:val="18"/>
          <w:szCs w:val="18"/>
        </w:rPr>
        <w:t xml:space="preserve">Solanum </w:t>
      </w:r>
      <w:proofErr w:type="spellStart"/>
      <w:r w:rsidRPr="00F45258">
        <w:rPr>
          <w:rFonts w:ascii="Times New Roman" w:hAnsi="Times New Roman" w:cs="Times New Roman"/>
          <w:bCs/>
          <w:i/>
          <w:iCs/>
          <w:sz w:val="18"/>
          <w:szCs w:val="18"/>
        </w:rPr>
        <w:t>lycopersicum</w:t>
      </w:r>
      <w:proofErr w:type="spellEnd"/>
      <w:r w:rsidRPr="00F45258">
        <w:rPr>
          <w:rFonts w:ascii="Times New Roman" w:hAnsi="Times New Roman" w:cs="Times New Roman"/>
          <w:bCs/>
          <w:sz w:val="18"/>
          <w:szCs w:val="18"/>
        </w:rPr>
        <w:t xml:space="preserve"> L.). </w:t>
      </w:r>
      <w:r w:rsidRPr="00F45258">
        <w:rPr>
          <w:rFonts w:ascii="Times New Roman" w:hAnsi="Times New Roman" w:cs="Times New Roman"/>
          <w:bCs/>
          <w:i/>
          <w:iCs/>
          <w:sz w:val="18"/>
          <w:szCs w:val="18"/>
        </w:rPr>
        <w:t xml:space="preserve">Int. J. </w:t>
      </w:r>
      <w:proofErr w:type="spellStart"/>
      <w:r w:rsidRPr="00F45258">
        <w:rPr>
          <w:rFonts w:ascii="Times New Roman" w:hAnsi="Times New Roman" w:cs="Times New Roman"/>
          <w:bCs/>
          <w:i/>
          <w:iCs/>
          <w:sz w:val="18"/>
          <w:szCs w:val="18"/>
        </w:rPr>
        <w:t>Curr</w:t>
      </w:r>
      <w:proofErr w:type="spellEnd"/>
      <w:r w:rsidRPr="00F45258">
        <w:rPr>
          <w:rFonts w:ascii="Times New Roman" w:hAnsi="Times New Roman" w:cs="Times New Roman"/>
          <w:bCs/>
          <w:i/>
          <w:iCs/>
          <w:sz w:val="18"/>
          <w:szCs w:val="18"/>
        </w:rPr>
        <w:t>.  Microbiol. App. Sci</w:t>
      </w:r>
      <w:r w:rsidRPr="00F45258">
        <w:rPr>
          <w:rFonts w:ascii="Times New Roman" w:hAnsi="Times New Roman" w:cs="Times New Roman"/>
          <w:bCs/>
          <w:sz w:val="18"/>
          <w:szCs w:val="18"/>
        </w:rPr>
        <w:t>. 9(10): 2164-2173.doi: https://doi.org/10.20546/ijcmas.2020.910.263.</w:t>
      </w:r>
    </w:p>
    <w:p w14:paraId="7863A61C" w14:textId="77777777" w:rsidR="00F45258" w:rsidRPr="00F45258" w:rsidRDefault="00F45258" w:rsidP="00F45258">
      <w:pPr>
        <w:pStyle w:val="ListParagraph"/>
        <w:rPr>
          <w:rFonts w:ascii="Times New Roman" w:hAnsi="Times New Roman" w:cs="Times New Roman"/>
          <w:sz w:val="18"/>
          <w:szCs w:val="18"/>
          <w:shd w:val="clear" w:color="auto" w:fill="CBE0CB"/>
        </w:rPr>
      </w:pPr>
    </w:p>
    <w:p w14:paraId="21E86913" w14:textId="77777777" w:rsidR="00F45258" w:rsidRPr="00F45258" w:rsidRDefault="00F45258" w:rsidP="00F45258">
      <w:pPr>
        <w:pStyle w:val="ListParagraph"/>
        <w:widowControl/>
        <w:numPr>
          <w:ilvl w:val="0"/>
          <w:numId w:val="4"/>
        </w:numPr>
        <w:tabs>
          <w:tab w:val="left" w:pos="360"/>
          <w:tab w:val="left" w:pos="810"/>
        </w:tabs>
        <w:spacing w:before="0" w:line="276" w:lineRule="auto"/>
        <w:ind w:left="360"/>
        <w:contextualSpacing/>
        <w:rPr>
          <w:rFonts w:ascii="Times New Roman" w:hAnsi="Times New Roman" w:cs="Times New Roman"/>
          <w:bCs/>
          <w:sz w:val="18"/>
          <w:szCs w:val="18"/>
        </w:rPr>
      </w:pPr>
      <w:r w:rsidRPr="00F45258">
        <w:rPr>
          <w:rFonts w:ascii="Times New Roman" w:hAnsi="Times New Roman" w:cs="Times New Roman"/>
          <w:b/>
          <w:sz w:val="18"/>
          <w:szCs w:val="18"/>
        </w:rPr>
        <w:t>Sumbula, V.</w:t>
      </w:r>
      <w:r w:rsidRPr="00F45258">
        <w:rPr>
          <w:rFonts w:ascii="Times New Roman" w:hAnsi="Times New Roman" w:cs="Times New Roman"/>
          <w:bCs/>
          <w:sz w:val="18"/>
          <w:szCs w:val="18"/>
        </w:rPr>
        <w:t xml:space="preserve"> and Kurian, P.S. 2020. </w:t>
      </w:r>
      <w:r w:rsidRPr="00F45258">
        <w:rPr>
          <w:rFonts w:ascii="Times New Roman" w:hAnsi="Times New Roman" w:cs="Times New Roman"/>
          <w:bCs/>
          <w:i/>
          <w:iCs/>
          <w:sz w:val="18"/>
          <w:szCs w:val="18"/>
        </w:rPr>
        <w:t xml:space="preserve">In-vitro </w:t>
      </w:r>
      <w:r w:rsidRPr="00F45258">
        <w:rPr>
          <w:rFonts w:ascii="Times New Roman" w:hAnsi="Times New Roman" w:cs="Times New Roman"/>
          <w:bCs/>
          <w:sz w:val="18"/>
          <w:szCs w:val="18"/>
        </w:rPr>
        <w:t xml:space="preserve">evaluation of fungicides and bioagents against tomato early blight pathogen </w:t>
      </w:r>
      <w:r w:rsidRPr="00F45258">
        <w:rPr>
          <w:rFonts w:ascii="Times New Roman" w:hAnsi="Times New Roman" w:cs="Times New Roman"/>
          <w:bCs/>
          <w:i/>
          <w:iCs/>
          <w:sz w:val="18"/>
          <w:szCs w:val="18"/>
        </w:rPr>
        <w:t xml:space="preserve">Alternaria </w:t>
      </w:r>
      <w:proofErr w:type="spellStart"/>
      <w:r w:rsidRPr="00F45258">
        <w:rPr>
          <w:rFonts w:ascii="Times New Roman" w:hAnsi="Times New Roman" w:cs="Times New Roman"/>
          <w:bCs/>
          <w:i/>
          <w:iCs/>
          <w:sz w:val="18"/>
          <w:szCs w:val="18"/>
        </w:rPr>
        <w:t>solani</w:t>
      </w:r>
      <w:proofErr w:type="spellEnd"/>
      <w:r w:rsidRPr="00F45258">
        <w:rPr>
          <w:rFonts w:ascii="Times New Roman" w:hAnsi="Times New Roman" w:cs="Times New Roman"/>
          <w:bCs/>
          <w:i/>
          <w:iCs/>
          <w:sz w:val="18"/>
          <w:szCs w:val="18"/>
        </w:rPr>
        <w:t xml:space="preserve"> </w:t>
      </w:r>
      <w:r w:rsidRPr="00F45258">
        <w:rPr>
          <w:rFonts w:ascii="Times New Roman" w:hAnsi="Times New Roman" w:cs="Times New Roman"/>
          <w:bCs/>
          <w:sz w:val="18"/>
          <w:szCs w:val="18"/>
        </w:rPr>
        <w:t xml:space="preserve">(L.). The </w:t>
      </w:r>
      <w:proofErr w:type="spellStart"/>
      <w:r w:rsidRPr="00F45258">
        <w:rPr>
          <w:rFonts w:ascii="Times New Roman" w:hAnsi="Times New Roman" w:cs="Times New Roman"/>
          <w:bCs/>
          <w:sz w:val="18"/>
          <w:szCs w:val="18"/>
        </w:rPr>
        <w:t>bioscan</w:t>
      </w:r>
      <w:proofErr w:type="spellEnd"/>
      <w:r w:rsidRPr="00F45258">
        <w:rPr>
          <w:rFonts w:ascii="Times New Roman" w:hAnsi="Times New Roman" w:cs="Times New Roman"/>
          <w:bCs/>
          <w:sz w:val="18"/>
          <w:szCs w:val="18"/>
        </w:rPr>
        <w:t>, 15(1):005-008.</w:t>
      </w:r>
    </w:p>
    <w:p w14:paraId="6C13BCC4" w14:textId="77777777" w:rsidR="00F45258" w:rsidRPr="00F45258" w:rsidRDefault="00F45258" w:rsidP="00F45258">
      <w:pPr>
        <w:tabs>
          <w:tab w:val="left" w:pos="360"/>
          <w:tab w:val="left" w:pos="810"/>
        </w:tabs>
        <w:rPr>
          <w:rFonts w:ascii="Times New Roman" w:hAnsi="Times New Roman" w:cs="Times New Roman"/>
          <w:bCs/>
          <w:sz w:val="18"/>
          <w:szCs w:val="18"/>
        </w:rPr>
      </w:pPr>
    </w:p>
    <w:p w14:paraId="4C3D9441" w14:textId="77777777" w:rsidR="00F45258" w:rsidRPr="00F45258" w:rsidRDefault="00F45258" w:rsidP="00F45258">
      <w:pPr>
        <w:pStyle w:val="ListParagraph"/>
        <w:widowControl/>
        <w:numPr>
          <w:ilvl w:val="0"/>
          <w:numId w:val="4"/>
        </w:numPr>
        <w:tabs>
          <w:tab w:val="left" w:pos="360"/>
          <w:tab w:val="left" w:pos="810"/>
        </w:tabs>
        <w:spacing w:before="0" w:line="276" w:lineRule="auto"/>
        <w:ind w:left="360"/>
        <w:contextualSpacing/>
        <w:rPr>
          <w:rFonts w:ascii="Times New Roman" w:hAnsi="Times New Roman" w:cs="Times New Roman"/>
          <w:bCs/>
          <w:sz w:val="18"/>
          <w:szCs w:val="18"/>
        </w:rPr>
      </w:pPr>
      <w:r w:rsidRPr="00F45258">
        <w:rPr>
          <w:rFonts w:ascii="Times New Roman" w:hAnsi="Times New Roman" w:cs="Times New Roman"/>
          <w:b/>
          <w:sz w:val="18"/>
          <w:szCs w:val="18"/>
        </w:rPr>
        <w:t xml:space="preserve">Sumbula, V., </w:t>
      </w:r>
      <w:r w:rsidRPr="00F45258">
        <w:rPr>
          <w:rFonts w:ascii="Times New Roman" w:hAnsi="Times New Roman" w:cs="Times New Roman"/>
          <w:bCs/>
          <w:sz w:val="18"/>
          <w:szCs w:val="18"/>
        </w:rPr>
        <w:t xml:space="preserve">Mathew, S.K., Raj, N.M. 2016. Cross infectivity of </w:t>
      </w:r>
      <w:r w:rsidRPr="00F45258">
        <w:rPr>
          <w:rFonts w:ascii="Times New Roman" w:hAnsi="Times New Roman" w:cs="Times New Roman"/>
          <w:bCs/>
          <w:i/>
          <w:iCs/>
          <w:sz w:val="18"/>
          <w:szCs w:val="18"/>
        </w:rPr>
        <w:t xml:space="preserve">Phytophthora </w:t>
      </w:r>
      <w:r w:rsidRPr="00F45258">
        <w:rPr>
          <w:rFonts w:ascii="Times New Roman" w:hAnsi="Times New Roman" w:cs="Times New Roman"/>
          <w:bCs/>
          <w:sz w:val="18"/>
          <w:szCs w:val="18"/>
        </w:rPr>
        <w:t>sp. causing leaf fall disease of nutmeg (</w:t>
      </w:r>
      <w:proofErr w:type="spellStart"/>
      <w:r w:rsidRPr="00F45258">
        <w:rPr>
          <w:rFonts w:ascii="Times New Roman" w:hAnsi="Times New Roman" w:cs="Times New Roman"/>
          <w:bCs/>
          <w:i/>
          <w:iCs/>
          <w:sz w:val="18"/>
          <w:szCs w:val="18"/>
        </w:rPr>
        <w:t>Myristica</w:t>
      </w:r>
      <w:proofErr w:type="spellEnd"/>
      <w:r w:rsidRPr="00F45258">
        <w:rPr>
          <w:rFonts w:ascii="Times New Roman" w:hAnsi="Times New Roman" w:cs="Times New Roman"/>
          <w:bCs/>
          <w:i/>
          <w:iCs/>
          <w:sz w:val="18"/>
          <w:szCs w:val="18"/>
        </w:rPr>
        <w:t xml:space="preserve"> </w:t>
      </w:r>
      <w:proofErr w:type="spellStart"/>
      <w:r w:rsidRPr="00F45258">
        <w:rPr>
          <w:rFonts w:ascii="Times New Roman" w:hAnsi="Times New Roman" w:cs="Times New Roman"/>
          <w:bCs/>
          <w:i/>
          <w:iCs/>
          <w:sz w:val="18"/>
          <w:szCs w:val="18"/>
        </w:rPr>
        <w:t>fragrans</w:t>
      </w:r>
      <w:proofErr w:type="spellEnd"/>
      <w:r w:rsidRPr="00F45258">
        <w:rPr>
          <w:rFonts w:ascii="Times New Roman" w:hAnsi="Times New Roman" w:cs="Times New Roman"/>
          <w:bCs/>
          <w:sz w:val="18"/>
          <w:szCs w:val="18"/>
        </w:rPr>
        <w:t xml:space="preserve"> </w:t>
      </w:r>
      <w:proofErr w:type="spellStart"/>
      <w:r w:rsidRPr="00F45258">
        <w:rPr>
          <w:rFonts w:ascii="Times New Roman" w:hAnsi="Times New Roman" w:cs="Times New Roman"/>
          <w:bCs/>
          <w:sz w:val="18"/>
          <w:szCs w:val="18"/>
        </w:rPr>
        <w:t>Houtt</w:t>
      </w:r>
      <w:proofErr w:type="spellEnd"/>
      <w:r w:rsidRPr="00F45258">
        <w:rPr>
          <w:rFonts w:ascii="Times New Roman" w:hAnsi="Times New Roman" w:cs="Times New Roman"/>
          <w:bCs/>
          <w:sz w:val="18"/>
          <w:szCs w:val="18"/>
        </w:rPr>
        <w:t>.).</w:t>
      </w:r>
      <w:r w:rsidRPr="00F45258">
        <w:rPr>
          <w:rFonts w:ascii="Times New Roman" w:hAnsi="Times New Roman" w:cs="Times New Roman"/>
          <w:b/>
          <w:sz w:val="18"/>
          <w:szCs w:val="18"/>
        </w:rPr>
        <w:t xml:space="preserve"> </w:t>
      </w:r>
      <w:proofErr w:type="spellStart"/>
      <w:r w:rsidRPr="00F45258">
        <w:rPr>
          <w:rFonts w:ascii="Times New Roman" w:hAnsi="Times New Roman" w:cs="Times New Roman"/>
          <w:bCs/>
          <w:i/>
          <w:iCs/>
          <w:sz w:val="18"/>
          <w:szCs w:val="18"/>
        </w:rPr>
        <w:t>Int.J.Sci.Enviorn.Technol</w:t>
      </w:r>
      <w:proofErr w:type="spellEnd"/>
      <w:r w:rsidRPr="00F45258">
        <w:rPr>
          <w:rFonts w:ascii="Times New Roman" w:hAnsi="Times New Roman" w:cs="Times New Roman"/>
          <w:bCs/>
          <w:i/>
          <w:iCs/>
          <w:sz w:val="18"/>
          <w:szCs w:val="18"/>
        </w:rPr>
        <w:t>.</w:t>
      </w:r>
      <w:r w:rsidRPr="00F45258">
        <w:rPr>
          <w:rFonts w:ascii="Times New Roman" w:hAnsi="Times New Roman" w:cs="Times New Roman"/>
          <w:bCs/>
          <w:sz w:val="18"/>
          <w:szCs w:val="18"/>
        </w:rPr>
        <w:t xml:space="preserve"> 5(2):412-415.</w:t>
      </w:r>
    </w:p>
    <w:p w14:paraId="716D4E90" w14:textId="77777777" w:rsidR="00F45258" w:rsidRPr="00F45258" w:rsidRDefault="00F45258" w:rsidP="00F45258">
      <w:pPr>
        <w:rPr>
          <w:rFonts w:ascii="Times New Roman" w:hAnsi="Times New Roman" w:cs="Times New Roman"/>
          <w:bCs/>
          <w:sz w:val="18"/>
          <w:szCs w:val="18"/>
        </w:rPr>
      </w:pPr>
    </w:p>
    <w:p w14:paraId="096BD90F" w14:textId="77777777" w:rsidR="00F45258" w:rsidRPr="00F45258" w:rsidRDefault="00F45258" w:rsidP="00F45258">
      <w:pPr>
        <w:pStyle w:val="ListParagraph"/>
        <w:widowControl/>
        <w:numPr>
          <w:ilvl w:val="0"/>
          <w:numId w:val="4"/>
        </w:numPr>
        <w:tabs>
          <w:tab w:val="left" w:pos="360"/>
          <w:tab w:val="left" w:pos="810"/>
        </w:tabs>
        <w:spacing w:before="0" w:line="276" w:lineRule="auto"/>
        <w:ind w:left="360"/>
        <w:contextualSpacing/>
        <w:rPr>
          <w:rFonts w:ascii="Times New Roman" w:hAnsi="Times New Roman" w:cs="Times New Roman"/>
          <w:bCs/>
          <w:sz w:val="18"/>
          <w:szCs w:val="18"/>
        </w:rPr>
      </w:pPr>
      <w:proofErr w:type="spellStart"/>
      <w:r w:rsidRPr="00F45258">
        <w:rPr>
          <w:rFonts w:ascii="Times New Roman" w:hAnsi="Times New Roman" w:cs="Times New Roman"/>
          <w:spacing w:val="4"/>
          <w:sz w:val="18"/>
          <w:szCs w:val="18"/>
          <w:shd w:val="clear" w:color="auto" w:fill="FFFFFF"/>
        </w:rPr>
        <w:t>Hamsa</w:t>
      </w:r>
      <w:proofErr w:type="spellEnd"/>
      <w:r w:rsidRPr="00F45258">
        <w:rPr>
          <w:rFonts w:ascii="Times New Roman" w:hAnsi="Times New Roman" w:cs="Times New Roman"/>
          <w:spacing w:val="4"/>
          <w:sz w:val="18"/>
          <w:szCs w:val="18"/>
          <w:shd w:val="clear" w:color="auto" w:fill="FFFFFF"/>
        </w:rPr>
        <w:t xml:space="preserve">, S., </w:t>
      </w:r>
      <w:proofErr w:type="spellStart"/>
      <w:r w:rsidRPr="00F45258">
        <w:rPr>
          <w:rFonts w:ascii="Times New Roman" w:hAnsi="Times New Roman" w:cs="Times New Roman"/>
          <w:spacing w:val="4"/>
          <w:sz w:val="18"/>
          <w:szCs w:val="18"/>
          <w:shd w:val="clear" w:color="auto" w:fill="FFFFFF"/>
        </w:rPr>
        <w:t>Girija</w:t>
      </w:r>
      <w:proofErr w:type="spellEnd"/>
      <w:r w:rsidRPr="00F45258">
        <w:rPr>
          <w:rFonts w:ascii="Times New Roman" w:hAnsi="Times New Roman" w:cs="Times New Roman"/>
          <w:spacing w:val="4"/>
          <w:sz w:val="18"/>
          <w:szCs w:val="18"/>
          <w:shd w:val="clear" w:color="auto" w:fill="FFFFFF"/>
        </w:rPr>
        <w:t xml:space="preserve">, D., </w:t>
      </w:r>
      <w:proofErr w:type="spellStart"/>
      <w:r w:rsidRPr="00F45258">
        <w:rPr>
          <w:rFonts w:ascii="Times New Roman" w:hAnsi="Times New Roman" w:cs="Times New Roman"/>
          <w:spacing w:val="4"/>
          <w:sz w:val="18"/>
          <w:szCs w:val="18"/>
          <w:shd w:val="clear" w:color="auto" w:fill="FFFFFF"/>
        </w:rPr>
        <w:t>Nazeem</w:t>
      </w:r>
      <w:proofErr w:type="spellEnd"/>
      <w:r w:rsidRPr="00F45258">
        <w:rPr>
          <w:rFonts w:ascii="Times New Roman" w:hAnsi="Times New Roman" w:cs="Times New Roman"/>
          <w:spacing w:val="4"/>
          <w:sz w:val="18"/>
          <w:szCs w:val="18"/>
          <w:shd w:val="clear" w:color="auto" w:fill="FFFFFF"/>
        </w:rPr>
        <w:t xml:space="preserve">, P. A., Mathew, S. K., Deepa, K., Balakrishnan, S., &amp; </w:t>
      </w:r>
      <w:r w:rsidRPr="00F45258">
        <w:rPr>
          <w:rFonts w:ascii="Times New Roman" w:hAnsi="Times New Roman" w:cs="Times New Roman"/>
          <w:b/>
          <w:bCs/>
          <w:spacing w:val="4"/>
          <w:sz w:val="18"/>
          <w:szCs w:val="18"/>
          <w:shd w:val="clear" w:color="auto" w:fill="FFFFFF"/>
        </w:rPr>
        <w:t>Sumbula, V.</w:t>
      </w:r>
      <w:r w:rsidRPr="00F45258">
        <w:rPr>
          <w:rFonts w:ascii="Times New Roman" w:hAnsi="Times New Roman" w:cs="Times New Roman"/>
          <w:spacing w:val="4"/>
          <w:sz w:val="18"/>
          <w:szCs w:val="18"/>
          <w:shd w:val="clear" w:color="auto" w:fill="FFFFFF"/>
        </w:rPr>
        <w:t xml:space="preserve"> (2016). Molecular characterization of </w:t>
      </w:r>
      <w:proofErr w:type="spellStart"/>
      <w:r w:rsidRPr="00F45258">
        <w:rPr>
          <w:rFonts w:ascii="Times New Roman" w:hAnsi="Times New Roman" w:cs="Times New Roman"/>
          <w:spacing w:val="4"/>
          <w:sz w:val="18"/>
          <w:szCs w:val="18"/>
          <w:shd w:val="clear" w:color="auto" w:fill="FFFFFF"/>
        </w:rPr>
        <w:t>geminivirus</w:t>
      </w:r>
      <w:proofErr w:type="spellEnd"/>
      <w:r w:rsidRPr="00F45258">
        <w:rPr>
          <w:rFonts w:ascii="Times New Roman" w:hAnsi="Times New Roman" w:cs="Times New Roman"/>
          <w:spacing w:val="4"/>
          <w:sz w:val="18"/>
          <w:szCs w:val="18"/>
          <w:shd w:val="clear" w:color="auto" w:fill="FFFFFF"/>
        </w:rPr>
        <w:t xml:space="preserve"> causing yellow vein mosaic in pumpkin. </w:t>
      </w:r>
      <w:r w:rsidRPr="00F45258">
        <w:rPr>
          <w:rFonts w:ascii="Times New Roman" w:hAnsi="Times New Roman" w:cs="Times New Roman"/>
          <w:i/>
          <w:iCs/>
          <w:spacing w:val="4"/>
          <w:sz w:val="18"/>
          <w:szCs w:val="18"/>
          <w:shd w:val="clear" w:color="auto" w:fill="FFFFFF"/>
        </w:rPr>
        <w:t>Int. J. Sci. Environ. Technol</w:t>
      </w:r>
      <w:r w:rsidRPr="00F45258">
        <w:rPr>
          <w:rFonts w:ascii="Times New Roman" w:hAnsi="Times New Roman" w:cs="Times New Roman"/>
          <w:spacing w:val="4"/>
          <w:sz w:val="18"/>
          <w:szCs w:val="18"/>
          <w:shd w:val="clear" w:color="auto" w:fill="FFFFFF"/>
        </w:rPr>
        <w:t>. 5:133-147.</w:t>
      </w:r>
    </w:p>
    <w:p w14:paraId="0972D9E9" w14:textId="77777777" w:rsidR="00F45258" w:rsidRPr="00F45258" w:rsidRDefault="00F45258" w:rsidP="00F45258">
      <w:pPr>
        <w:spacing w:line="360" w:lineRule="auto"/>
        <w:jc w:val="center"/>
        <w:rPr>
          <w:rFonts w:ascii="Times New Roman" w:hAnsi="Times New Roman" w:cs="Times New Roman"/>
          <w:b/>
          <w:sz w:val="18"/>
          <w:szCs w:val="18"/>
        </w:rPr>
      </w:pPr>
      <w:r w:rsidRPr="00F45258">
        <w:rPr>
          <w:rFonts w:ascii="Times New Roman" w:hAnsi="Times New Roman" w:cs="Times New Roman"/>
          <w:b/>
          <w:sz w:val="18"/>
          <w:szCs w:val="18"/>
        </w:rPr>
        <w:t>Research Articles (National)</w:t>
      </w:r>
    </w:p>
    <w:p w14:paraId="161E81BC" w14:textId="77777777" w:rsidR="00F45258" w:rsidRPr="00F45258" w:rsidRDefault="00F45258" w:rsidP="00F45258">
      <w:pPr>
        <w:pStyle w:val="ListParagraph"/>
        <w:widowControl/>
        <w:numPr>
          <w:ilvl w:val="0"/>
          <w:numId w:val="5"/>
        </w:numPr>
        <w:tabs>
          <w:tab w:val="left" w:pos="450"/>
          <w:tab w:val="left" w:pos="810"/>
        </w:tabs>
        <w:spacing w:before="0" w:line="276" w:lineRule="auto"/>
        <w:ind w:left="360"/>
        <w:contextualSpacing/>
        <w:rPr>
          <w:rFonts w:ascii="Times New Roman" w:hAnsi="Times New Roman" w:cs="Times New Roman"/>
          <w:bCs/>
          <w:i/>
          <w:sz w:val="18"/>
          <w:szCs w:val="18"/>
        </w:rPr>
      </w:pPr>
      <w:r w:rsidRPr="00F45258">
        <w:rPr>
          <w:rFonts w:ascii="Times New Roman" w:hAnsi="Times New Roman" w:cs="Times New Roman"/>
          <w:b/>
          <w:bCs/>
          <w:color w:val="000000"/>
          <w:spacing w:val="4"/>
          <w:sz w:val="18"/>
          <w:szCs w:val="18"/>
          <w:shd w:val="clear" w:color="auto" w:fill="FFFFFF"/>
        </w:rPr>
        <w:t>Sumbula, V</w:t>
      </w:r>
      <w:r w:rsidRPr="00F45258">
        <w:rPr>
          <w:rFonts w:ascii="Times New Roman" w:hAnsi="Times New Roman" w:cs="Times New Roman"/>
          <w:color w:val="000000"/>
          <w:spacing w:val="4"/>
          <w:sz w:val="18"/>
          <w:szCs w:val="18"/>
          <w:shd w:val="clear" w:color="auto" w:fill="FFFFFF"/>
        </w:rPr>
        <w:t>., and Mathew, S. K. 2016. Management of Phytophthora leaf fall disease of nutmeg (</w:t>
      </w:r>
      <w:proofErr w:type="spellStart"/>
      <w:r w:rsidRPr="00F45258">
        <w:rPr>
          <w:rFonts w:ascii="Times New Roman" w:hAnsi="Times New Roman" w:cs="Times New Roman"/>
          <w:color w:val="000000"/>
          <w:spacing w:val="4"/>
          <w:sz w:val="18"/>
          <w:szCs w:val="18"/>
          <w:shd w:val="clear" w:color="auto" w:fill="FFFFFF"/>
        </w:rPr>
        <w:t>Myristica</w:t>
      </w:r>
      <w:proofErr w:type="spellEnd"/>
      <w:r w:rsidRPr="00F45258">
        <w:rPr>
          <w:rFonts w:ascii="Times New Roman" w:hAnsi="Times New Roman" w:cs="Times New Roman"/>
          <w:color w:val="000000"/>
          <w:spacing w:val="4"/>
          <w:sz w:val="18"/>
          <w:szCs w:val="18"/>
          <w:shd w:val="clear" w:color="auto" w:fill="FFFFFF"/>
        </w:rPr>
        <w:t xml:space="preserve"> </w:t>
      </w:r>
      <w:proofErr w:type="spellStart"/>
      <w:r w:rsidRPr="00F45258">
        <w:rPr>
          <w:rFonts w:ascii="Times New Roman" w:hAnsi="Times New Roman" w:cs="Times New Roman"/>
          <w:color w:val="000000"/>
          <w:spacing w:val="4"/>
          <w:sz w:val="18"/>
          <w:szCs w:val="18"/>
          <w:shd w:val="clear" w:color="auto" w:fill="FFFFFF"/>
        </w:rPr>
        <w:t>fragrans</w:t>
      </w:r>
      <w:proofErr w:type="spellEnd"/>
      <w:r w:rsidRPr="00F45258">
        <w:rPr>
          <w:rFonts w:ascii="Times New Roman" w:hAnsi="Times New Roman" w:cs="Times New Roman"/>
          <w:color w:val="000000"/>
          <w:spacing w:val="4"/>
          <w:sz w:val="18"/>
          <w:szCs w:val="18"/>
          <w:shd w:val="clear" w:color="auto" w:fill="FFFFFF"/>
        </w:rPr>
        <w:t xml:space="preserve"> </w:t>
      </w:r>
      <w:proofErr w:type="spellStart"/>
      <w:r w:rsidRPr="00F45258">
        <w:rPr>
          <w:rFonts w:ascii="Times New Roman" w:hAnsi="Times New Roman" w:cs="Times New Roman"/>
          <w:color w:val="000000"/>
          <w:spacing w:val="4"/>
          <w:sz w:val="18"/>
          <w:szCs w:val="18"/>
          <w:shd w:val="clear" w:color="auto" w:fill="FFFFFF"/>
        </w:rPr>
        <w:t>Houtt</w:t>
      </w:r>
      <w:proofErr w:type="spellEnd"/>
      <w:r w:rsidRPr="00F45258">
        <w:rPr>
          <w:rFonts w:ascii="Times New Roman" w:hAnsi="Times New Roman" w:cs="Times New Roman"/>
          <w:color w:val="000000"/>
          <w:spacing w:val="4"/>
          <w:sz w:val="18"/>
          <w:szCs w:val="18"/>
          <w:shd w:val="clear" w:color="auto" w:fill="FFFFFF"/>
        </w:rPr>
        <w:t>.). Journal of Tropical Agriculture, 53(2), 180-186.</w:t>
      </w:r>
    </w:p>
    <w:p w14:paraId="2B63C4B7" w14:textId="77777777" w:rsidR="00F45258" w:rsidRPr="00F45258" w:rsidRDefault="00F45258" w:rsidP="00F45258">
      <w:pPr>
        <w:pStyle w:val="ListParagraph"/>
        <w:widowControl/>
        <w:numPr>
          <w:ilvl w:val="0"/>
          <w:numId w:val="5"/>
        </w:numPr>
        <w:tabs>
          <w:tab w:val="left" w:pos="450"/>
          <w:tab w:val="left" w:pos="810"/>
        </w:tabs>
        <w:spacing w:before="0" w:line="276" w:lineRule="auto"/>
        <w:ind w:left="360"/>
        <w:contextualSpacing/>
        <w:rPr>
          <w:rFonts w:ascii="Times New Roman" w:hAnsi="Times New Roman" w:cs="Times New Roman"/>
          <w:bCs/>
          <w:i/>
          <w:sz w:val="18"/>
          <w:szCs w:val="18"/>
        </w:rPr>
      </w:pPr>
      <w:r w:rsidRPr="00F45258">
        <w:rPr>
          <w:rFonts w:ascii="Times New Roman" w:hAnsi="Times New Roman" w:cs="Times New Roman"/>
          <w:b/>
          <w:bCs/>
          <w:color w:val="000000"/>
          <w:spacing w:val="4"/>
          <w:sz w:val="18"/>
          <w:szCs w:val="18"/>
          <w:shd w:val="clear" w:color="auto" w:fill="FFFFFF"/>
        </w:rPr>
        <w:t>Sumbula, V</w:t>
      </w:r>
      <w:r w:rsidRPr="00F45258">
        <w:rPr>
          <w:rFonts w:ascii="Times New Roman" w:hAnsi="Times New Roman" w:cs="Times New Roman"/>
          <w:color w:val="000000"/>
          <w:spacing w:val="4"/>
          <w:sz w:val="18"/>
          <w:szCs w:val="18"/>
          <w:shd w:val="clear" w:color="auto" w:fill="FFFFFF"/>
        </w:rPr>
        <w:t>., Mathew, S. K., and Raj, M. N. (2016). Host range of Phytophthora sp. causing leaf fall disease of nutmeg (</w:t>
      </w:r>
      <w:proofErr w:type="spellStart"/>
      <w:r w:rsidRPr="00F45258">
        <w:rPr>
          <w:rFonts w:ascii="Times New Roman" w:hAnsi="Times New Roman" w:cs="Times New Roman"/>
          <w:color w:val="000000"/>
          <w:spacing w:val="4"/>
          <w:sz w:val="18"/>
          <w:szCs w:val="18"/>
          <w:shd w:val="clear" w:color="auto" w:fill="FFFFFF"/>
        </w:rPr>
        <w:t>Myristica</w:t>
      </w:r>
      <w:proofErr w:type="spellEnd"/>
      <w:r w:rsidRPr="00F45258">
        <w:rPr>
          <w:rFonts w:ascii="Times New Roman" w:hAnsi="Times New Roman" w:cs="Times New Roman"/>
          <w:color w:val="000000"/>
          <w:spacing w:val="4"/>
          <w:sz w:val="18"/>
          <w:szCs w:val="18"/>
          <w:shd w:val="clear" w:color="auto" w:fill="FFFFFF"/>
        </w:rPr>
        <w:t xml:space="preserve"> </w:t>
      </w:r>
      <w:proofErr w:type="spellStart"/>
      <w:r w:rsidRPr="00F45258">
        <w:rPr>
          <w:rFonts w:ascii="Times New Roman" w:hAnsi="Times New Roman" w:cs="Times New Roman"/>
          <w:color w:val="000000"/>
          <w:spacing w:val="4"/>
          <w:sz w:val="18"/>
          <w:szCs w:val="18"/>
          <w:shd w:val="clear" w:color="auto" w:fill="FFFFFF"/>
        </w:rPr>
        <w:t>fragrans</w:t>
      </w:r>
      <w:proofErr w:type="spellEnd"/>
      <w:r w:rsidRPr="00F45258">
        <w:rPr>
          <w:rFonts w:ascii="Times New Roman" w:hAnsi="Times New Roman" w:cs="Times New Roman"/>
          <w:color w:val="000000"/>
          <w:spacing w:val="4"/>
          <w:sz w:val="18"/>
          <w:szCs w:val="18"/>
          <w:shd w:val="clear" w:color="auto" w:fill="FFFFFF"/>
        </w:rPr>
        <w:t xml:space="preserve"> </w:t>
      </w:r>
      <w:proofErr w:type="spellStart"/>
      <w:r w:rsidRPr="00F45258">
        <w:rPr>
          <w:rFonts w:ascii="Times New Roman" w:hAnsi="Times New Roman" w:cs="Times New Roman"/>
          <w:color w:val="000000"/>
          <w:spacing w:val="4"/>
          <w:sz w:val="18"/>
          <w:szCs w:val="18"/>
          <w:shd w:val="clear" w:color="auto" w:fill="FFFFFF"/>
        </w:rPr>
        <w:t>Houtt</w:t>
      </w:r>
      <w:proofErr w:type="spellEnd"/>
      <w:r w:rsidRPr="00F45258">
        <w:rPr>
          <w:rFonts w:ascii="Times New Roman" w:hAnsi="Times New Roman" w:cs="Times New Roman"/>
          <w:color w:val="000000"/>
          <w:spacing w:val="4"/>
          <w:sz w:val="18"/>
          <w:szCs w:val="18"/>
          <w:shd w:val="clear" w:color="auto" w:fill="FFFFFF"/>
        </w:rPr>
        <w:t>.). Indian Journal of Agricultural Research, 50(6), 631-634.</w:t>
      </w:r>
    </w:p>
    <w:p w14:paraId="36633E40" w14:textId="77777777" w:rsidR="00EA7D51" w:rsidRDefault="00EA7D51" w:rsidP="000534A1">
      <w:pPr>
        <w:spacing w:before="39"/>
        <w:ind w:left="100"/>
        <w:rPr>
          <w:rFonts w:ascii="Minion Pro"/>
          <w:b/>
          <w:sz w:val="20"/>
        </w:rPr>
      </w:pPr>
    </w:p>
    <w:p w14:paraId="1857E64F" w14:textId="77777777" w:rsidR="00EA7D51" w:rsidRDefault="00EA7D51" w:rsidP="000534A1">
      <w:pPr>
        <w:spacing w:before="39"/>
        <w:ind w:left="100"/>
        <w:rPr>
          <w:rFonts w:ascii="Minion Pro"/>
          <w:b/>
          <w:sz w:val="20"/>
        </w:rPr>
      </w:pPr>
    </w:p>
    <w:p w14:paraId="7F2B1BFE" w14:textId="07389A5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16613">
        <w:rPr>
          <w:sz w:val="20"/>
          <w:szCs w:val="20"/>
          <w:lang w:val="en-NZ"/>
        </w:rPr>
        <w:t>Dr.</w:t>
      </w:r>
      <w:proofErr w:type="spellEnd"/>
      <w:r w:rsidR="00B16613">
        <w:rPr>
          <w:sz w:val="20"/>
          <w:szCs w:val="20"/>
          <w:lang w:val="en-NZ"/>
        </w:rPr>
        <w:t xml:space="preserve"> Sumbula V</w:t>
      </w:r>
      <w:r w:rsidRPr="00F35A62">
        <w:rPr>
          <w:sz w:val="20"/>
          <w:szCs w:val="20"/>
          <w:lang w:val="en-NZ"/>
        </w:rPr>
        <w:br/>
        <w:t>Contact number:</w:t>
      </w:r>
      <w:r w:rsidR="00B16613">
        <w:rPr>
          <w:sz w:val="20"/>
          <w:szCs w:val="20"/>
          <w:lang w:val="en-NZ"/>
        </w:rPr>
        <w:t xml:space="preserve"> 8547130252</w:t>
      </w:r>
      <w:r w:rsidRPr="00F35A62">
        <w:rPr>
          <w:sz w:val="20"/>
          <w:szCs w:val="20"/>
          <w:lang w:val="en-NZ"/>
        </w:rPr>
        <w:br/>
        <w:t>Twitter account:</w:t>
      </w:r>
      <w:r w:rsidRPr="00F35A62">
        <w:rPr>
          <w:sz w:val="20"/>
          <w:szCs w:val="20"/>
          <w:lang w:val="en-NZ"/>
        </w:rPr>
        <w:br/>
        <w:t>Linked In account:</w:t>
      </w:r>
      <w:r w:rsidR="00B16613">
        <w:rPr>
          <w:sz w:val="20"/>
          <w:szCs w:val="20"/>
          <w:lang w:val="en-NZ"/>
        </w:rPr>
        <w:t xml:space="preserve"> sumbula.v@kau.in</w:t>
      </w:r>
    </w:p>
    <w:p w14:paraId="621DD9B4" w14:textId="720865C8" w:rsidR="00EA7D51" w:rsidRPr="00F45258" w:rsidRDefault="00EA7D51" w:rsidP="00F45258">
      <w:pPr>
        <w:autoSpaceDE w:val="0"/>
        <w:autoSpaceDN w:val="0"/>
        <w:adjustRightInd w:val="0"/>
        <w:rPr>
          <w:sz w:val="20"/>
          <w:szCs w:val="20"/>
          <w:lang w:val="en-NZ"/>
        </w:rPr>
        <w:sectPr w:rsidR="00EA7D51" w:rsidRPr="00F4525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B16613">
        <w:rPr>
          <w:sz w:val="20"/>
          <w:szCs w:val="20"/>
          <w:lang w:val="en-NZ"/>
        </w:rPr>
        <w:t>Applied Microbiology/3</w:t>
      </w:r>
      <w:r w:rsidRPr="00F35A62">
        <w:rPr>
          <w:sz w:val="20"/>
          <w:szCs w:val="20"/>
          <w:lang w:val="en-NZ"/>
        </w:rPr>
        <w:br/>
        <w:t>Category: (Oral presentatio</w:t>
      </w:r>
      <w:r w:rsidR="00B16613">
        <w:rPr>
          <w:sz w:val="20"/>
          <w:szCs w:val="20"/>
          <w:lang w:val="en-NZ"/>
        </w:rPr>
        <w:t>n</w:t>
      </w:r>
      <w:r w:rsidRPr="00F35A62">
        <w:rPr>
          <w:sz w:val="20"/>
          <w:szCs w:val="20"/>
          <w:lang w:val="en-NZ"/>
        </w:rPr>
        <w:t>)</w:t>
      </w:r>
      <w:r w:rsidR="00B16613">
        <w:rPr>
          <w:sz w:val="20"/>
          <w:szCs w:val="20"/>
          <w:lang w:val="en-NZ"/>
        </w:rPr>
        <w:t xml:space="preserve"> </w:t>
      </w:r>
      <w:r w:rsidRPr="00F35A62">
        <w:rPr>
          <w:sz w:val="20"/>
          <w:szCs w:val="20"/>
          <w:lang w:val="en-NZ"/>
        </w:rPr>
        <w:br/>
      </w:r>
    </w:p>
    <w:p w14:paraId="2E35B6B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4641AF" w14:textId="77777777" w:rsidR="00125411" w:rsidRDefault="00125411">
      <w:r>
        <w:separator/>
      </w:r>
    </w:p>
  </w:endnote>
  <w:endnote w:type="continuationSeparator" w:id="0">
    <w:p w14:paraId="3C9C8948" w14:textId="77777777" w:rsidR="00125411" w:rsidRDefault="0012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dvOT82c4f4c4+20">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C06F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A32E346" wp14:editId="3D45E5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66C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FF754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2E34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38D66C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FF754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70D76C" wp14:editId="2D0530D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F88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87BA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D76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DDF88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87BA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B2E6897" wp14:editId="7E6F383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C9A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EE17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E689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CEC9A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EE17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C4A0E" w14:textId="77777777" w:rsidR="00125411" w:rsidRDefault="00125411">
      <w:r>
        <w:separator/>
      </w:r>
    </w:p>
  </w:footnote>
  <w:footnote w:type="continuationSeparator" w:id="0">
    <w:p w14:paraId="4E9CE07E" w14:textId="77777777" w:rsidR="00125411" w:rsidRDefault="00125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B46F61"/>
    <w:multiLevelType w:val="hybridMultilevel"/>
    <w:tmpl w:val="ACF6E3A4"/>
    <w:lvl w:ilvl="0" w:tplc="CEB81EFC">
      <w:start w:val="1"/>
      <w:numFmt w:val="decimal"/>
      <w:lvlText w:val="%1."/>
      <w:lvlJc w:val="left"/>
      <w:pPr>
        <w:ind w:left="2345"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F5296A"/>
    <w:multiLevelType w:val="hybridMultilevel"/>
    <w:tmpl w:val="067E8080"/>
    <w:lvl w:ilvl="0" w:tplc="53649318">
      <w:start w:val="1"/>
      <w:numFmt w:val="decimal"/>
      <w:lvlText w:val="%1."/>
      <w:lvlJc w:val="left"/>
      <w:pPr>
        <w:ind w:left="3196" w:hanging="360"/>
      </w:pPr>
      <w:rPr>
        <w:b w:val="0"/>
        <w:bCs/>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5411"/>
    <w:rsid w:val="001263DF"/>
    <w:rsid w:val="00292ED9"/>
    <w:rsid w:val="002B2B87"/>
    <w:rsid w:val="00351D9B"/>
    <w:rsid w:val="00380299"/>
    <w:rsid w:val="003D065D"/>
    <w:rsid w:val="003E6756"/>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18A1"/>
    <w:rsid w:val="00AE3E37"/>
    <w:rsid w:val="00B14DE4"/>
    <w:rsid w:val="00B16613"/>
    <w:rsid w:val="00B21A57"/>
    <w:rsid w:val="00BE6743"/>
    <w:rsid w:val="00C33602"/>
    <w:rsid w:val="00C56C74"/>
    <w:rsid w:val="00CD6F55"/>
    <w:rsid w:val="00DE3104"/>
    <w:rsid w:val="00DE6170"/>
    <w:rsid w:val="00E30AAC"/>
    <w:rsid w:val="00E95D97"/>
    <w:rsid w:val="00EA7D51"/>
    <w:rsid w:val="00F046EA"/>
    <w:rsid w:val="00F1540A"/>
    <w:rsid w:val="00F312EA"/>
    <w:rsid w:val="00F35A62"/>
    <w:rsid w:val="00F4525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7C31E"/>
  <w15:docId w15:val="{67588AEB-CEF7-4367-83F7-989A7A89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E18A1"/>
    <w:pPr>
      <w:widowControl/>
      <w:autoSpaceDE w:val="0"/>
      <w:autoSpaceDN w:val="0"/>
      <w:adjustRightInd w:val="0"/>
    </w:pPr>
    <w:rPr>
      <w:rFonts w:ascii="Times New Roman" w:hAnsi="Times New Roman" w:cs="Times New Roman"/>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E:\my%20publications\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Sheet1!$A$2</c:f>
              <c:strCache>
                <c:ptCount val="1"/>
                <c:pt idx="0">
                  <c:v>Acremonium</c:v>
                </c:pt>
              </c:strCache>
            </c:strRef>
          </c:tx>
          <c:spPr>
            <a:solidFill>
              <a:schemeClr val="accent1"/>
            </a:solidFill>
            <a:ln>
              <a:noFill/>
            </a:ln>
            <a:effectLst/>
          </c:spPr>
          <c:invertIfNegative val="0"/>
          <c:cat>
            <c:strRef>
              <c:f>Sheet1!$B$1:$D$1</c:f>
              <c:strCache>
                <c:ptCount val="3"/>
                <c:pt idx="0">
                  <c:v>Propineb</c:v>
                </c:pt>
                <c:pt idx="1">
                  <c:v>Iprodione + carbendazim</c:v>
                </c:pt>
                <c:pt idx="2">
                  <c:v>Control</c:v>
                </c:pt>
              </c:strCache>
            </c:strRef>
          </c:cat>
          <c:val>
            <c:numRef>
              <c:f>Sheet1!$B$2:$D$2</c:f>
              <c:numCache>
                <c:formatCode>General</c:formatCode>
                <c:ptCount val="3"/>
                <c:pt idx="0">
                  <c:v>1354</c:v>
                </c:pt>
                <c:pt idx="2">
                  <c:v>1354</c:v>
                </c:pt>
              </c:numCache>
            </c:numRef>
          </c:val>
          <c:extLst>
            <c:ext xmlns:c16="http://schemas.microsoft.com/office/drawing/2014/chart" uri="{C3380CC4-5D6E-409C-BE32-E72D297353CC}">
              <c16:uniqueId val="{00000000-AF01-454B-BB83-97191CC052BB}"/>
            </c:ext>
          </c:extLst>
        </c:ser>
        <c:ser>
          <c:idx val="1"/>
          <c:order val="1"/>
          <c:tx>
            <c:strRef>
              <c:f>Sheet1!$A$3</c:f>
              <c:strCache>
                <c:ptCount val="1"/>
                <c:pt idx="0">
                  <c:v>Agaricus</c:v>
                </c:pt>
              </c:strCache>
            </c:strRef>
          </c:tx>
          <c:spPr>
            <a:solidFill>
              <a:schemeClr val="accent2"/>
            </a:solidFill>
            <a:ln>
              <a:noFill/>
            </a:ln>
            <a:effectLst/>
          </c:spPr>
          <c:invertIfNegative val="0"/>
          <c:cat>
            <c:strRef>
              <c:f>Sheet1!$B$1:$D$1</c:f>
              <c:strCache>
                <c:ptCount val="3"/>
                <c:pt idx="0">
                  <c:v>Propineb</c:v>
                </c:pt>
                <c:pt idx="1">
                  <c:v>Iprodione + carbendazim</c:v>
                </c:pt>
                <c:pt idx="2">
                  <c:v>Control</c:v>
                </c:pt>
              </c:strCache>
            </c:strRef>
          </c:cat>
          <c:val>
            <c:numRef>
              <c:f>Sheet1!$B$3:$D$3</c:f>
              <c:numCache>
                <c:formatCode>General</c:formatCode>
                <c:ptCount val="3"/>
                <c:pt idx="0">
                  <c:v>1061</c:v>
                </c:pt>
                <c:pt idx="1">
                  <c:v>1206</c:v>
                </c:pt>
              </c:numCache>
            </c:numRef>
          </c:val>
          <c:extLst>
            <c:ext xmlns:c16="http://schemas.microsoft.com/office/drawing/2014/chart" uri="{C3380CC4-5D6E-409C-BE32-E72D297353CC}">
              <c16:uniqueId val="{00000001-AF01-454B-BB83-97191CC052BB}"/>
            </c:ext>
          </c:extLst>
        </c:ser>
        <c:ser>
          <c:idx val="2"/>
          <c:order val="2"/>
          <c:tx>
            <c:strRef>
              <c:f>Sheet1!$A$4</c:f>
              <c:strCache>
                <c:ptCount val="1"/>
                <c:pt idx="0">
                  <c:v>Alternaria</c:v>
                </c:pt>
              </c:strCache>
            </c:strRef>
          </c:tx>
          <c:spPr>
            <a:solidFill>
              <a:schemeClr val="accent3"/>
            </a:solidFill>
            <a:ln>
              <a:noFill/>
            </a:ln>
            <a:effectLst/>
          </c:spPr>
          <c:invertIfNegative val="0"/>
          <c:cat>
            <c:strRef>
              <c:f>Sheet1!$B$1:$D$1</c:f>
              <c:strCache>
                <c:ptCount val="3"/>
                <c:pt idx="0">
                  <c:v>Propineb</c:v>
                </c:pt>
                <c:pt idx="1">
                  <c:v>Iprodione + carbendazim</c:v>
                </c:pt>
                <c:pt idx="2">
                  <c:v>Control</c:v>
                </c:pt>
              </c:strCache>
            </c:strRef>
          </c:cat>
          <c:val>
            <c:numRef>
              <c:f>Sheet1!$B$4:$D$4</c:f>
              <c:numCache>
                <c:formatCode>General</c:formatCode>
                <c:ptCount val="3"/>
                <c:pt idx="0">
                  <c:v>45967</c:v>
                </c:pt>
                <c:pt idx="1">
                  <c:v>27100</c:v>
                </c:pt>
                <c:pt idx="2">
                  <c:v>100120</c:v>
                </c:pt>
              </c:numCache>
            </c:numRef>
          </c:val>
          <c:extLst>
            <c:ext xmlns:c16="http://schemas.microsoft.com/office/drawing/2014/chart" uri="{C3380CC4-5D6E-409C-BE32-E72D297353CC}">
              <c16:uniqueId val="{00000002-AF01-454B-BB83-97191CC052BB}"/>
            </c:ext>
          </c:extLst>
        </c:ser>
        <c:ser>
          <c:idx val="3"/>
          <c:order val="3"/>
          <c:tx>
            <c:strRef>
              <c:f>Sheet1!$A$5</c:f>
              <c:strCache>
                <c:ptCount val="1"/>
                <c:pt idx="0">
                  <c:v>Anthracocystis</c:v>
                </c:pt>
              </c:strCache>
            </c:strRef>
          </c:tx>
          <c:spPr>
            <a:solidFill>
              <a:schemeClr val="accent4"/>
            </a:solidFill>
            <a:ln>
              <a:noFill/>
            </a:ln>
            <a:effectLst/>
          </c:spPr>
          <c:invertIfNegative val="0"/>
          <c:cat>
            <c:strRef>
              <c:f>Sheet1!$B$1:$D$1</c:f>
              <c:strCache>
                <c:ptCount val="3"/>
                <c:pt idx="0">
                  <c:v>Propineb</c:v>
                </c:pt>
                <c:pt idx="1">
                  <c:v>Iprodione + carbendazim</c:v>
                </c:pt>
                <c:pt idx="2">
                  <c:v>Control</c:v>
                </c:pt>
              </c:strCache>
            </c:strRef>
          </c:cat>
          <c:val>
            <c:numRef>
              <c:f>Sheet1!$B$5:$D$5</c:f>
              <c:numCache>
                <c:formatCode>General</c:formatCode>
                <c:ptCount val="3"/>
                <c:pt idx="1">
                  <c:v>1917</c:v>
                </c:pt>
              </c:numCache>
            </c:numRef>
          </c:val>
          <c:extLst>
            <c:ext xmlns:c16="http://schemas.microsoft.com/office/drawing/2014/chart" uri="{C3380CC4-5D6E-409C-BE32-E72D297353CC}">
              <c16:uniqueId val="{00000003-AF01-454B-BB83-97191CC052BB}"/>
            </c:ext>
          </c:extLst>
        </c:ser>
        <c:ser>
          <c:idx val="4"/>
          <c:order val="4"/>
          <c:tx>
            <c:strRef>
              <c:f>Sheet1!$A$6</c:f>
              <c:strCache>
                <c:ptCount val="1"/>
                <c:pt idx="0">
                  <c:v>Aspergillus</c:v>
                </c:pt>
              </c:strCache>
            </c:strRef>
          </c:tx>
          <c:spPr>
            <a:solidFill>
              <a:schemeClr val="accent5"/>
            </a:solidFill>
            <a:ln>
              <a:noFill/>
            </a:ln>
            <a:effectLst/>
          </c:spPr>
          <c:invertIfNegative val="0"/>
          <c:cat>
            <c:strRef>
              <c:f>Sheet1!$B$1:$D$1</c:f>
              <c:strCache>
                <c:ptCount val="3"/>
                <c:pt idx="0">
                  <c:v>Propineb</c:v>
                </c:pt>
                <c:pt idx="1">
                  <c:v>Iprodione + carbendazim</c:v>
                </c:pt>
                <c:pt idx="2">
                  <c:v>Control</c:v>
                </c:pt>
              </c:strCache>
            </c:strRef>
          </c:cat>
          <c:val>
            <c:numRef>
              <c:f>Sheet1!$B$6:$D$6</c:f>
              <c:numCache>
                <c:formatCode>General</c:formatCode>
                <c:ptCount val="3"/>
                <c:pt idx="0">
                  <c:v>25402</c:v>
                </c:pt>
                <c:pt idx="2">
                  <c:v>12456</c:v>
                </c:pt>
              </c:numCache>
            </c:numRef>
          </c:val>
          <c:extLst>
            <c:ext xmlns:c16="http://schemas.microsoft.com/office/drawing/2014/chart" uri="{C3380CC4-5D6E-409C-BE32-E72D297353CC}">
              <c16:uniqueId val="{00000004-AF01-454B-BB83-97191CC052BB}"/>
            </c:ext>
          </c:extLst>
        </c:ser>
        <c:ser>
          <c:idx val="5"/>
          <c:order val="5"/>
          <c:tx>
            <c:strRef>
              <c:f>Sheet1!$A$7</c:f>
              <c:strCache>
                <c:ptCount val="1"/>
                <c:pt idx="0">
                  <c:v>Auricularia</c:v>
                </c:pt>
              </c:strCache>
            </c:strRef>
          </c:tx>
          <c:spPr>
            <a:solidFill>
              <a:schemeClr val="accent6"/>
            </a:solidFill>
            <a:ln>
              <a:noFill/>
            </a:ln>
            <a:effectLst/>
          </c:spPr>
          <c:invertIfNegative val="0"/>
          <c:cat>
            <c:strRef>
              <c:f>Sheet1!$B$1:$D$1</c:f>
              <c:strCache>
                <c:ptCount val="3"/>
                <c:pt idx="0">
                  <c:v>Propineb</c:v>
                </c:pt>
                <c:pt idx="1">
                  <c:v>Iprodione + carbendazim</c:v>
                </c:pt>
                <c:pt idx="2">
                  <c:v>Control</c:v>
                </c:pt>
              </c:strCache>
            </c:strRef>
          </c:cat>
          <c:val>
            <c:numRef>
              <c:f>Sheet1!$B$7:$D$7</c:f>
              <c:numCache>
                <c:formatCode>General</c:formatCode>
                <c:ptCount val="3"/>
                <c:pt idx="0">
                  <c:v>14016</c:v>
                </c:pt>
                <c:pt idx="1">
                  <c:v>6269</c:v>
                </c:pt>
                <c:pt idx="2">
                  <c:v>14016</c:v>
                </c:pt>
              </c:numCache>
            </c:numRef>
          </c:val>
          <c:extLst>
            <c:ext xmlns:c16="http://schemas.microsoft.com/office/drawing/2014/chart" uri="{C3380CC4-5D6E-409C-BE32-E72D297353CC}">
              <c16:uniqueId val="{00000005-AF01-454B-BB83-97191CC052BB}"/>
            </c:ext>
          </c:extLst>
        </c:ser>
        <c:ser>
          <c:idx val="6"/>
          <c:order val="6"/>
          <c:tx>
            <c:strRef>
              <c:f>Sheet1!$A$8</c:f>
              <c:strCache>
                <c:ptCount val="1"/>
                <c:pt idx="0">
                  <c:v>Cladosporium</c:v>
                </c:pt>
              </c:strCache>
            </c:strRef>
          </c:tx>
          <c:spPr>
            <a:solidFill>
              <a:schemeClr val="accent1">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Sheet1!$B$8:$D$8</c:f>
              <c:numCache>
                <c:formatCode>General</c:formatCode>
                <c:ptCount val="3"/>
                <c:pt idx="0">
                  <c:v>2421</c:v>
                </c:pt>
                <c:pt idx="1">
                  <c:v>6945</c:v>
                </c:pt>
                <c:pt idx="2">
                  <c:v>2689</c:v>
                </c:pt>
              </c:numCache>
            </c:numRef>
          </c:val>
          <c:extLst>
            <c:ext xmlns:c16="http://schemas.microsoft.com/office/drawing/2014/chart" uri="{C3380CC4-5D6E-409C-BE32-E72D297353CC}">
              <c16:uniqueId val="{00000006-AF01-454B-BB83-97191CC052BB}"/>
            </c:ext>
          </c:extLst>
        </c:ser>
        <c:ser>
          <c:idx val="7"/>
          <c:order val="7"/>
          <c:tx>
            <c:strRef>
              <c:f>Sheet1!$A$9</c:f>
              <c:strCache>
                <c:ptCount val="1"/>
                <c:pt idx="0">
                  <c:v>Coprinopsis</c:v>
                </c:pt>
              </c:strCache>
            </c:strRef>
          </c:tx>
          <c:spPr>
            <a:solidFill>
              <a:schemeClr val="accent2">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Sheet1!$B$9:$D$9</c:f>
              <c:numCache>
                <c:formatCode>General</c:formatCode>
                <c:ptCount val="3"/>
                <c:pt idx="1">
                  <c:v>10395</c:v>
                </c:pt>
                <c:pt idx="2">
                  <c:v>2421</c:v>
                </c:pt>
              </c:numCache>
            </c:numRef>
          </c:val>
          <c:extLst>
            <c:ext xmlns:c16="http://schemas.microsoft.com/office/drawing/2014/chart" uri="{C3380CC4-5D6E-409C-BE32-E72D297353CC}">
              <c16:uniqueId val="{00000007-AF01-454B-BB83-97191CC052BB}"/>
            </c:ext>
          </c:extLst>
        </c:ser>
        <c:ser>
          <c:idx val="8"/>
          <c:order val="8"/>
          <c:tx>
            <c:strRef>
              <c:f>Sheet1!$A$10</c:f>
              <c:strCache>
                <c:ptCount val="1"/>
                <c:pt idx="0">
                  <c:v>Corynespora</c:v>
                </c:pt>
              </c:strCache>
            </c:strRef>
          </c:tx>
          <c:spPr>
            <a:solidFill>
              <a:schemeClr val="accent3">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Sheet1!$B$10:$D$10</c:f>
              <c:numCache>
                <c:formatCode>General</c:formatCode>
                <c:ptCount val="3"/>
                <c:pt idx="0">
                  <c:v>3830</c:v>
                </c:pt>
                <c:pt idx="1">
                  <c:v>4765</c:v>
                </c:pt>
                <c:pt idx="2">
                  <c:v>3858</c:v>
                </c:pt>
              </c:numCache>
            </c:numRef>
          </c:val>
          <c:extLst>
            <c:ext xmlns:c16="http://schemas.microsoft.com/office/drawing/2014/chart" uri="{C3380CC4-5D6E-409C-BE32-E72D297353CC}">
              <c16:uniqueId val="{00000008-AF01-454B-BB83-97191CC052BB}"/>
            </c:ext>
          </c:extLst>
        </c:ser>
        <c:ser>
          <c:idx val="9"/>
          <c:order val="9"/>
          <c:tx>
            <c:strRef>
              <c:f>Sheet1!$A$11</c:f>
              <c:strCache>
                <c:ptCount val="1"/>
                <c:pt idx="0">
                  <c:v>Exserohilum</c:v>
                </c:pt>
              </c:strCache>
            </c:strRef>
          </c:tx>
          <c:spPr>
            <a:solidFill>
              <a:schemeClr val="accent4">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Sheet1!$B$11:$D$11</c:f>
              <c:numCache>
                <c:formatCode>General</c:formatCode>
                <c:ptCount val="3"/>
                <c:pt idx="0">
                  <c:v>3385</c:v>
                </c:pt>
              </c:numCache>
            </c:numRef>
          </c:val>
          <c:extLst>
            <c:ext xmlns:c16="http://schemas.microsoft.com/office/drawing/2014/chart" uri="{C3380CC4-5D6E-409C-BE32-E72D297353CC}">
              <c16:uniqueId val="{00000009-AF01-454B-BB83-97191CC052BB}"/>
            </c:ext>
          </c:extLst>
        </c:ser>
        <c:ser>
          <c:idx val="10"/>
          <c:order val="10"/>
          <c:tx>
            <c:strRef>
              <c:f>Sheet1!$A$12</c:f>
              <c:strCache>
                <c:ptCount val="1"/>
                <c:pt idx="0">
                  <c:v>Fusarium</c:v>
                </c:pt>
              </c:strCache>
            </c:strRef>
          </c:tx>
          <c:spPr>
            <a:solidFill>
              <a:schemeClr val="accent5">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Sheet1!$B$12:$D$12</c:f>
              <c:numCache>
                <c:formatCode>General</c:formatCode>
                <c:ptCount val="3"/>
                <c:pt idx="1">
                  <c:v>4249</c:v>
                </c:pt>
              </c:numCache>
            </c:numRef>
          </c:val>
          <c:extLst>
            <c:ext xmlns:c16="http://schemas.microsoft.com/office/drawing/2014/chart" uri="{C3380CC4-5D6E-409C-BE32-E72D297353CC}">
              <c16:uniqueId val="{0000000A-AF01-454B-BB83-97191CC052BB}"/>
            </c:ext>
          </c:extLst>
        </c:ser>
        <c:ser>
          <c:idx val="11"/>
          <c:order val="11"/>
          <c:tx>
            <c:strRef>
              <c:f>Sheet1!$A$13</c:f>
              <c:strCache>
                <c:ptCount val="1"/>
                <c:pt idx="0">
                  <c:v>Helminthosporium</c:v>
                </c:pt>
              </c:strCache>
            </c:strRef>
          </c:tx>
          <c:spPr>
            <a:solidFill>
              <a:schemeClr val="accent6">
                <a:lumMod val="60000"/>
              </a:schemeClr>
            </a:solidFill>
            <a:ln>
              <a:noFill/>
            </a:ln>
            <a:effectLst/>
          </c:spPr>
          <c:invertIfNegative val="0"/>
          <c:cat>
            <c:strRef>
              <c:f>Sheet1!$B$1:$D$1</c:f>
              <c:strCache>
                <c:ptCount val="3"/>
                <c:pt idx="0">
                  <c:v>Propineb</c:v>
                </c:pt>
                <c:pt idx="1">
                  <c:v>Iprodione + carbendazim</c:v>
                </c:pt>
                <c:pt idx="2">
                  <c:v>Control</c:v>
                </c:pt>
              </c:strCache>
            </c:strRef>
          </c:cat>
          <c:val>
            <c:numRef>
              <c:f>Sheet1!$B$13:$D$13</c:f>
              <c:numCache>
                <c:formatCode>General</c:formatCode>
                <c:ptCount val="3"/>
                <c:pt idx="1">
                  <c:v>1898</c:v>
                </c:pt>
              </c:numCache>
            </c:numRef>
          </c:val>
          <c:extLst>
            <c:ext xmlns:c16="http://schemas.microsoft.com/office/drawing/2014/chart" uri="{C3380CC4-5D6E-409C-BE32-E72D297353CC}">
              <c16:uniqueId val="{0000000B-AF01-454B-BB83-97191CC052BB}"/>
            </c:ext>
          </c:extLst>
        </c:ser>
        <c:ser>
          <c:idx val="12"/>
          <c:order val="12"/>
          <c:tx>
            <c:strRef>
              <c:f>Sheet1!$A$14</c:f>
              <c:strCache>
                <c:ptCount val="1"/>
                <c:pt idx="0">
                  <c:v>Malassezia</c:v>
                </c:pt>
              </c:strCache>
            </c:strRef>
          </c:tx>
          <c:spPr>
            <a:solidFill>
              <a:schemeClr val="accent1">
                <a:lumMod val="80000"/>
                <a:lumOff val="20000"/>
              </a:schemeClr>
            </a:solidFill>
            <a:ln>
              <a:noFill/>
            </a:ln>
            <a:effectLst/>
          </c:spPr>
          <c:invertIfNegative val="0"/>
          <c:cat>
            <c:strRef>
              <c:f>Sheet1!$B$1:$D$1</c:f>
              <c:strCache>
                <c:ptCount val="3"/>
                <c:pt idx="0">
                  <c:v>Propineb</c:v>
                </c:pt>
                <c:pt idx="1">
                  <c:v>Iprodione + carbendazim</c:v>
                </c:pt>
                <c:pt idx="2">
                  <c:v>Control</c:v>
                </c:pt>
              </c:strCache>
            </c:strRef>
          </c:cat>
          <c:val>
            <c:numRef>
              <c:f>Sheet1!$B$14:$D$14</c:f>
              <c:numCache>
                <c:formatCode>General</c:formatCode>
                <c:ptCount val="3"/>
                <c:pt idx="0">
                  <c:v>1144</c:v>
                </c:pt>
                <c:pt idx="2">
                  <c:v>1144</c:v>
                </c:pt>
              </c:numCache>
            </c:numRef>
          </c:val>
          <c:extLst>
            <c:ext xmlns:c16="http://schemas.microsoft.com/office/drawing/2014/chart" uri="{C3380CC4-5D6E-409C-BE32-E72D297353CC}">
              <c16:uniqueId val="{0000000C-AF01-454B-BB83-97191CC052BB}"/>
            </c:ext>
          </c:extLst>
        </c:ser>
        <c:ser>
          <c:idx val="13"/>
          <c:order val="13"/>
          <c:tx>
            <c:strRef>
              <c:f>Sheet1!$A$15</c:f>
              <c:strCache>
                <c:ptCount val="1"/>
                <c:pt idx="0">
                  <c:v>Moesziomyces</c:v>
                </c:pt>
              </c:strCache>
            </c:strRef>
          </c:tx>
          <c:spPr>
            <a:solidFill>
              <a:schemeClr val="accent2">
                <a:lumMod val="80000"/>
                <a:lumOff val="20000"/>
              </a:schemeClr>
            </a:solidFill>
            <a:ln>
              <a:noFill/>
            </a:ln>
            <a:effectLst/>
          </c:spPr>
          <c:invertIfNegative val="0"/>
          <c:cat>
            <c:strRef>
              <c:f>Sheet1!$B$1:$D$1</c:f>
              <c:strCache>
                <c:ptCount val="3"/>
                <c:pt idx="0">
                  <c:v>Propineb</c:v>
                </c:pt>
                <c:pt idx="1">
                  <c:v>Iprodione + carbendazim</c:v>
                </c:pt>
                <c:pt idx="2">
                  <c:v>Control</c:v>
                </c:pt>
              </c:strCache>
            </c:strRef>
          </c:cat>
          <c:val>
            <c:numRef>
              <c:f>Sheet1!$B$15:$D$15</c:f>
              <c:numCache>
                <c:formatCode>General</c:formatCode>
                <c:ptCount val="3"/>
                <c:pt idx="0">
                  <c:v>22856</c:v>
                </c:pt>
                <c:pt idx="1">
                  <c:v>6819</c:v>
                </c:pt>
                <c:pt idx="2">
                  <c:v>22856</c:v>
                </c:pt>
              </c:numCache>
            </c:numRef>
          </c:val>
          <c:extLst>
            <c:ext xmlns:c16="http://schemas.microsoft.com/office/drawing/2014/chart" uri="{C3380CC4-5D6E-409C-BE32-E72D297353CC}">
              <c16:uniqueId val="{0000000D-AF01-454B-BB83-97191CC052BB}"/>
            </c:ext>
          </c:extLst>
        </c:ser>
        <c:ser>
          <c:idx val="14"/>
          <c:order val="14"/>
          <c:tx>
            <c:strRef>
              <c:f>Sheet1!$A$16</c:f>
              <c:strCache>
                <c:ptCount val="1"/>
                <c:pt idx="0">
                  <c:v>Pseudocercospora</c:v>
                </c:pt>
              </c:strCache>
            </c:strRef>
          </c:tx>
          <c:spPr>
            <a:solidFill>
              <a:schemeClr val="accent3">
                <a:lumMod val="80000"/>
                <a:lumOff val="20000"/>
              </a:schemeClr>
            </a:solidFill>
            <a:ln>
              <a:noFill/>
            </a:ln>
            <a:effectLst/>
          </c:spPr>
          <c:invertIfNegative val="0"/>
          <c:cat>
            <c:strRef>
              <c:f>Sheet1!$B$1:$D$1</c:f>
              <c:strCache>
                <c:ptCount val="3"/>
                <c:pt idx="0">
                  <c:v>Propineb</c:v>
                </c:pt>
                <c:pt idx="1">
                  <c:v>Iprodione + carbendazim</c:v>
                </c:pt>
                <c:pt idx="2">
                  <c:v>Control</c:v>
                </c:pt>
              </c:strCache>
            </c:strRef>
          </c:cat>
          <c:val>
            <c:numRef>
              <c:f>Sheet1!$B$16:$D$16</c:f>
              <c:numCache>
                <c:formatCode>General</c:formatCode>
                <c:ptCount val="3"/>
                <c:pt idx="0">
                  <c:v>19676</c:v>
                </c:pt>
                <c:pt idx="1">
                  <c:v>2408</c:v>
                </c:pt>
                <c:pt idx="2">
                  <c:v>5664</c:v>
                </c:pt>
              </c:numCache>
            </c:numRef>
          </c:val>
          <c:extLst>
            <c:ext xmlns:c16="http://schemas.microsoft.com/office/drawing/2014/chart" uri="{C3380CC4-5D6E-409C-BE32-E72D297353CC}">
              <c16:uniqueId val="{0000000E-AF01-454B-BB83-97191CC052BB}"/>
            </c:ext>
          </c:extLst>
        </c:ser>
        <c:ser>
          <c:idx val="15"/>
          <c:order val="15"/>
          <c:tx>
            <c:strRef>
              <c:f>Sheet1!$A$17</c:f>
              <c:strCache>
                <c:ptCount val="1"/>
                <c:pt idx="0">
                  <c:v>Remaining</c:v>
                </c:pt>
              </c:strCache>
            </c:strRef>
          </c:tx>
          <c:spPr>
            <a:solidFill>
              <a:schemeClr val="accent4">
                <a:lumMod val="80000"/>
                <a:lumOff val="20000"/>
              </a:schemeClr>
            </a:solidFill>
            <a:ln>
              <a:noFill/>
            </a:ln>
            <a:effectLst/>
          </c:spPr>
          <c:invertIfNegative val="0"/>
          <c:cat>
            <c:strRef>
              <c:f>Sheet1!$B$1:$D$1</c:f>
              <c:strCache>
                <c:ptCount val="3"/>
                <c:pt idx="0">
                  <c:v>Propineb</c:v>
                </c:pt>
                <c:pt idx="1">
                  <c:v>Iprodione + carbendazim</c:v>
                </c:pt>
                <c:pt idx="2">
                  <c:v>Control</c:v>
                </c:pt>
              </c:strCache>
            </c:strRef>
          </c:cat>
          <c:val>
            <c:numRef>
              <c:f>Sheet1!$B$17:$D$17</c:f>
              <c:numCache>
                <c:formatCode>General</c:formatCode>
                <c:ptCount val="3"/>
                <c:pt idx="0">
                  <c:v>3395</c:v>
                </c:pt>
                <c:pt idx="1">
                  <c:v>22480</c:v>
                </c:pt>
                <c:pt idx="2">
                  <c:v>2643</c:v>
                </c:pt>
              </c:numCache>
            </c:numRef>
          </c:val>
          <c:extLst>
            <c:ext xmlns:c16="http://schemas.microsoft.com/office/drawing/2014/chart" uri="{C3380CC4-5D6E-409C-BE32-E72D297353CC}">
              <c16:uniqueId val="{0000000F-AF01-454B-BB83-97191CC052BB}"/>
            </c:ext>
          </c:extLst>
        </c:ser>
        <c:dLbls>
          <c:showLegendKey val="0"/>
          <c:showVal val="0"/>
          <c:showCatName val="0"/>
          <c:showSerName val="0"/>
          <c:showPercent val="0"/>
          <c:showBubbleSize val="0"/>
        </c:dLbls>
        <c:gapWidth val="150"/>
        <c:overlap val="100"/>
        <c:axId val="664536576"/>
        <c:axId val="664538112"/>
      </c:barChart>
      <c:catAx>
        <c:axId val="66453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4538112"/>
        <c:crosses val="autoZero"/>
        <c:auto val="1"/>
        <c:lblAlgn val="ctr"/>
        <c:lblOffset val="100"/>
        <c:noMultiLvlLbl val="0"/>
      </c:catAx>
      <c:valAx>
        <c:axId val="664538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sz="900" b="1">
                    <a:solidFill>
                      <a:sysClr val="windowText" lastClr="000000"/>
                    </a:solidFill>
                    <a:latin typeface="Times New Roman" panose="02020603050405020304" pitchFamily="18" charset="0"/>
                    <a:cs typeface="Times New Roman" panose="02020603050405020304" pitchFamily="18" charset="0"/>
                  </a:rPr>
                  <a:t>Read</a:t>
                </a:r>
                <a:r>
                  <a:rPr lang="en-IN" sz="900" b="1" baseline="0">
                    <a:solidFill>
                      <a:sysClr val="windowText" lastClr="000000"/>
                    </a:solidFill>
                    <a:latin typeface="Times New Roman" panose="02020603050405020304" pitchFamily="18" charset="0"/>
                    <a:cs typeface="Times New Roman" panose="02020603050405020304" pitchFamily="18" charset="0"/>
                  </a:rPr>
                  <a:t> count</a:t>
                </a:r>
                <a:endParaRPr lang="en-IN"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45365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sumbula v</cp:lastModifiedBy>
  <cp:revision>2</cp:revision>
  <dcterms:created xsi:type="dcterms:W3CDTF">2022-08-24T08:19:00Z</dcterms:created>
  <dcterms:modified xsi:type="dcterms:W3CDTF">2022-08-24T08:19:00Z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