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770F9E" w14:textId="77777777" w:rsidR="00755FFD" w:rsidRPr="00755FFD" w:rsidRDefault="00F94C3E">
      <w:pPr>
        <w:pStyle w:val="p1"/>
      </w:pPr>
      <w:r>
        <w:rPr>
          <w:rStyle w:val="s1"/>
        </w:rPr>
        <w:t>Tit</w:t>
      </w:r>
      <w:r w:rsidR="00412A53">
        <w:rPr>
          <w:rStyle w:val="s1"/>
        </w:rPr>
        <w:t>le:</w:t>
      </w:r>
      <w:r w:rsidR="00755FFD">
        <w:rPr>
          <w:rStyle w:val="s1"/>
        </w:rPr>
        <w:t xml:space="preserve"> </w:t>
      </w:r>
      <w:r w:rsidR="00755FFD" w:rsidRPr="00755FFD">
        <w:rPr>
          <w:rFonts w:ascii=".SFUI-Regular" w:hAnsi=".SFUI-Regular"/>
        </w:rPr>
        <w:t xml:space="preserve">Comparing the Implications of IVF-Induced Pregnancy by Two Regimens with a Flexible Dose of </w:t>
      </w:r>
      <w:proofErr w:type="spellStart"/>
      <w:r w:rsidR="00755FFD" w:rsidRPr="00755FFD">
        <w:rPr>
          <w:rFonts w:ascii=".SFUI-Regular" w:hAnsi=".SFUI-Regular"/>
        </w:rPr>
        <w:t>GnRH</w:t>
      </w:r>
      <w:proofErr w:type="spellEnd"/>
      <w:r w:rsidR="00755FFD" w:rsidRPr="00755FFD">
        <w:rPr>
          <w:rFonts w:ascii=".SFUI-Regular" w:hAnsi=".SFUI-Regular"/>
        </w:rPr>
        <w:t xml:space="preserve"> Antagonist and a Half Fixed Dose of </w:t>
      </w:r>
      <w:proofErr w:type="spellStart"/>
      <w:r w:rsidR="00755FFD" w:rsidRPr="00755FFD">
        <w:rPr>
          <w:rFonts w:ascii=".SFUI-Regular" w:hAnsi=".SFUI-Regular"/>
        </w:rPr>
        <w:t>GnRH</w:t>
      </w:r>
      <w:proofErr w:type="spellEnd"/>
      <w:r w:rsidR="00755FFD" w:rsidRPr="00755FFD">
        <w:rPr>
          <w:rFonts w:ascii=".SFUI-Regular" w:hAnsi=".SFUI-Regular"/>
        </w:rPr>
        <w:t xml:space="preserve"> Antagonist</w:t>
      </w:r>
    </w:p>
    <w:p w14:paraId="7B9EDEF6" w14:textId="77777777" w:rsidR="00F07F60" w:rsidRDefault="00F07F60" w:rsidP="00687F0F">
      <w:pPr>
        <w:pStyle w:val="p1"/>
        <w:rPr>
          <w:rStyle w:val="s1"/>
        </w:rPr>
      </w:pPr>
    </w:p>
    <w:p w14:paraId="18DC76E9" w14:textId="77777777" w:rsidR="00F07F60" w:rsidRDefault="00F07F60" w:rsidP="00687F0F">
      <w:pPr>
        <w:pStyle w:val="p1"/>
        <w:rPr>
          <w:rStyle w:val="s1"/>
        </w:rPr>
      </w:pPr>
      <w:r>
        <w:rPr>
          <w:rStyle w:val="s1"/>
        </w:rPr>
        <w:t xml:space="preserve">                                                        </w:t>
      </w:r>
      <w:proofErr w:type="spellStart"/>
      <w:r>
        <w:rPr>
          <w:rStyle w:val="s1"/>
        </w:rPr>
        <w:t>Name</w:t>
      </w:r>
      <w:proofErr w:type="gramStart"/>
      <w:r>
        <w:rPr>
          <w:rStyle w:val="s1"/>
        </w:rPr>
        <w:t>:Melika</w:t>
      </w:r>
      <w:proofErr w:type="spellEnd"/>
      <w:proofErr w:type="gramEnd"/>
      <w:r>
        <w:rPr>
          <w:rStyle w:val="s1"/>
        </w:rPr>
        <w:t xml:space="preserve"> </w:t>
      </w:r>
      <w:proofErr w:type="spellStart"/>
      <w:r>
        <w:rPr>
          <w:rStyle w:val="s1"/>
        </w:rPr>
        <w:t>Assefi</w:t>
      </w:r>
      <w:proofErr w:type="spellEnd"/>
    </w:p>
    <w:p w14:paraId="5CCA7FB7" w14:textId="77777777" w:rsidR="00F07F60" w:rsidRDefault="008F7BEF" w:rsidP="00687F0F">
      <w:pPr>
        <w:pStyle w:val="p1"/>
        <w:rPr>
          <w:rStyle w:val="s1"/>
        </w:rPr>
      </w:pPr>
      <w:r>
        <w:rPr>
          <w:rStyle w:val="s1"/>
        </w:rPr>
        <w:t xml:space="preserve">                                    </w:t>
      </w:r>
      <w:r w:rsidR="00D54972">
        <w:rPr>
          <w:rStyle w:val="s1"/>
        </w:rPr>
        <w:t xml:space="preserve">  Tehran University Of Medical </w:t>
      </w:r>
      <w:proofErr w:type="spellStart"/>
      <w:r w:rsidR="00D54972">
        <w:rPr>
          <w:rStyle w:val="s1"/>
        </w:rPr>
        <w:t>Sciences</w:t>
      </w:r>
      <w:proofErr w:type="gramStart"/>
      <w:r w:rsidR="00D54972">
        <w:rPr>
          <w:rStyle w:val="s1"/>
        </w:rPr>
        <w:t>,IRAN</w:t>
      </w:r>
      <w:proofErr w:type="spellEnd"/>
      <w:proofErr w:type="gramEnd"/>
    </w:p>
    <w:p w14:paraId="5F927CB9" w14:textId="77777777" w:rsidR="00EA3165" w:rsidRDefault="00EA3165" w:rsidP="00687F0F">
      <w:pPr>
        <w:pStyle w:val="p1"/>
        <w:rPr>
          <w:rStyle w:val="s1"/>
        </w:rPr>
      </w:pPr>
      <w:r>
        <w:rPr>
          <w:rStyle w:val="s1"/>
        </w:rPr>
        <w:t xml:space="preserve">Introduction: In an IVF cycle after ovulation stimulation, the goal is to prevent LH surge and wasting follicles. The use of </w:t>
      </w:r>
      <w:proofErr w:type="spellStart"/>
      <w:r>
        <w:rPr>
          <w:rStyle w:val="s1"/>
        </w:rPr>
        <w:t>GnRH</w:t>
      </w:r>
      <w:proofErr w:type="spellEnd"/>
      <w:r>
        <w:rPr>
          <w:rStyle w:val="s1"/>
        </w:rPr>
        <w:t xml:space="preserve"> antagonists to achieve this goal has been considered by infertility specialists in recent years. Two fixed or flexible drug regimens have been tested. The aim of this study was to compare the implications of induced pregnancy by two regimens with a flexible dose of </w:t>
      </w:r>
      <w:proofErr w:type="spellStart"/>
      <w:r>
        <w:rPr>
          <w:rStyle w:val="s1"/>
        </w:rPr>
        <w:t>GnRH</w:t>
      </w:r>
      <w:proofErr w:type="spellEnd"/>
      <w:r>
        <w:rPr>
          <w:rStyle w:val="s1"/>
        </w:rPr>
        <w:t xml:space="preserve"> antagonist and a half fixed dose of </w:t>
      </w:r>
      <w:proofErr w:type="spellStart"/>
      <w:r>
        <w:rPr>
          <w:rStyle w:val="s1"/>
        </w:rPr>
        <w:t>GnRH</w:t>
      </w:r>
      <w:proofErr w:type="spellEnd"/>
      <w:r>
        <w:rPr>
          <w:rStyle w:val="s1"/>
        </w:rPr>
        <w:t xml:space="preserve"> antagonist that was evaluated for the first time.</w:t>
      </w:r>
    </w:p>
    <w:p w14:paraId="0F1530A3" w14:textId="77777777" w:rsidR="0004698B" w:rsidRDefault="0004698B" w:rsidP="00687F0F">
      <w:pPr>
        <w:pStyle w:val="p1"/>
      </w:pPr>
    </w:p>
    <w:p w14:paraId="11C7BEF8" w14:textId="77777777" w:rsidR="00EA3165" w:rsidRDefault="00EA3165" w:rsidP="00687F0F">
      <w:pPr>
        <w:pStyle w:val="p1"/>
        <w:rPr>
          <w:rStyle w:val="apple-converted-space"/>
          <w:rFonts w:ascii=".SFUI-Regular" w:hAnsi=".SFUI-Regular"/>
        </w:rPr>
      </w:pPr>
      <w:r>
        <w:rPr>
          <w:rStyle w:val="s1"/>
        </w:rPr>
        <w:t xml:space="preserve">Materials and Methods: This randomized double-blinded controlled trial was conducted on 140 patients referring to the infertility department of </w:t>
      </w:r>
      <w:proofErr w:type="spellStart"/>
      <w:r>
        <w:rPr>
          <w:rStyle w:val="s1"/>
        </w:rPr>
        <w:t>Shariati</w:t>
      </w:r>
      <w:proofErr w:type="spellEnd"/>
      <w:r>
        <w:rPr>
          <w:rStyle w:val="s1"/>
        </w:rPr>
        <w:t xml:space="preserve"> Hospital between June 2017 and June 2018 who were candidates for IVF. Patients who were candidates for cyclic therapy with </w:t>
      </w:r>
      <w:proofErr w:type="spellStart"/>
      <w:r>
        <w:rPr>
          <w:rStyle w:val="s1"/>
        </w:rPr>
        <w:t>GnRH</w:t>
      </w:r>
      <w:proofErr w:type="spellEnd"/>
      <w:r>
        <w:rPr>
          <w:rStyle w:val="s1"/>
        </w:rPr>
        <w:t xml:space="preserve"> antagonists were randomly assigned (with a randomized table of numbers) to either the fixed dose group with a half dose of the </w:t>
      </w:r>
      <w:proofErr w:type="spellStart"/>
      <w:r>
        <w:rPr>
          <w:rStyle w:val="s1"/>
        </w:rPr>
        <w:t>GnRH</w:t>
      </w:r>
      <w:proofErr w:type="spellEnd"/>
      <w:r>
        <w:rPr>
          <w:rStyle w:val="s1"/>
        </w:rPr>
        <w:t xml:space="preserve"> antagonist (Group A, n = 70) or the flexible </w:t>
      </w:r>
      <w:proofErr w:type="spellStart"/>
      <w:r>
        <w:rPr>
          <w:rStyle w:val="s1"/>
        </w:rPr>
        <w:t>GnRH</w:t>
      </w:r>
      <w:proofErr w:type="spellEnd"/>
      <w:r>
        <w:rPr>
          <w:rStyle w:val="s1"/>
        </w:rPr>
        <w:t xml:space="preserve"> antagonist dose (Group B, n = 70).</w:t>
      </w:r>
      <w:r>
        <w:rPr>
          <w:rStyle w:val="apple-converted-space"/>
          <w:rFonts w:ascii=".SFUI-Regular" w:hAnsi=".SFUI-Regular"/>
        </w:rPr>
        <w:t> </w:t>
      </w:r>
    </w:p>
    <w:p w14:paraId="3AF7A18D" w14:textId="77777777" w:rsidR="0004698B" w:rsidRDefault="0004698B" w:rsidP="00687F0F">
      <w:pPr>
        <w:pStyle w:val="p1"/>
      </w:pPr>
    </w:p>
    <w:p w14:paraId="36F5E9F0" w14:textId="77777777" w:rsidR="00EA3165" w:rsidRDefault="00EA3165" w:rsidP="00687F0F">
      <w:pPr>
        <w:pStyle w:val="p1"/>
        <w:rPr>
          <w:rStyle w:val="apple-converted-space"/>
          <w:rFonts w:ascii=".SFUI-Regular" w:hAnsi=".SFUI-Regular"/>
        </w:rPr>
      </w:pPr>
      <w:r>
        <w:rPr>
          <w:rStyle w:val="s1"/>
        </w:rPr>
        <w:t xml:space="preserve">Results: There was also difference in the numbers of IVF or IUI cycles across the two groups. The mean degree of the sperm motility and sperm morphology percentages were similar in the spouses of women in the two groups. With regard to the outcome of IVF, no difference was revealed in the mean number of mature follicles, number of retrieved oocytes, and number of transferred embryos (Table 3). The successful clinical pregnancy rate in the groups A and B was 20.0% and 18.6% respectively with no difference </w:t>
      </w:r>
      <w:r w:rsidR="009551E2">
        <w:rPr>
          <w:rStyle w:val="s1"/>
        </w:rPr>
        <w:t>.</w:t>
      </w:r>
      <w:r>
        <w:rPr>
          <w:rStyle w:val="s1"/>
        </w:rPr>
        <w:t xml:space="preserve">The successful clinical pregnancy rate in the groups A and B was 20.0% and 18.6% respectively with no difference (p = 0.830). Based on the multivariable logistic regression analysis, the fixed dose regimen with half dose of </w:t>
      </w:r>
      <w:proofErr w:type="spellStart"/>
      <w:r>
        <w:rPr>
          <w:rStyle w:val="s1"/>
        </w:rPr>
        <w:t>GnRH</w:t>
      </w:r>
      <w:proofErr w:type="spellEnd"/>
      <w:r>
        <w:rPr>
          <w:rStyle w:val="s1"/>
        </w:rPr>
        <w:t xml:space="preserve"> antagonist or </w:t>
      </w:r>
      <w:proofErr w:type="spellStart"/>
      <w:r>
        <w:rPr>
          <w:rStyle w:val="s1"/>
        </w:rPr>
        <w:t>GnRH</w:t>
      </w:r>
      <w:proofErr w:type="spellEnd"/>
      <w:r>
        <w:rPr>
          <w:rStyle w:val="s1"/>
        </w:rPr>
        <w:t xml:space="preserve"> flexible dose antagonist dose did not affect the IVF success. The final determinants of the success of IVF were the percentage of sperm morphology and BMI of the patients</w:t>
      </w:r>
      <w:r w:rsidR="00315A1A">
        <w:rPr>
          <w:rStyle w:val="s1"/>
        </w:rPr>
        <w:t>.</w:t>
      </w:r>
      <w:r>
        <w:rPr>
          <w:rStyle w:val="apple-converted-space"/>
          <w:rFonts w:ascii=".SFUI-Regular" w:hAnsi=".SFUI-Regular"/>
        </w:rPr>
        <w:t> </w:t>
      </w:r>
    </w:p>
    <w:p w14:paraId="48FD6AE0" w14:textId="77777777" w:rsidR="0004698B" w:rsidRDefault="0004698B" w:rsidP="00687F0F">
      <w:pPr>
        <w:pStyle w:val="p1"/>
      </w:pPr>
    </w:p>
    <w:p w14:paraId="131C7EB9" w14:textId="77777777" w:rsidR="00EA3165" w:rsidRDefault="00EA3165" w:rsidP="00687F0F">
      <w:pPr>
        <w:pStyle w:val="p1"/>
        <w:rPr>
          <w:rStyle w:val="s1"/>
        </w:rPr>
      </w:pPr>
      <w:r>
        <w:rPr>
          <w:rStyle w:val="s1"/>
        </w:rPr>
        <w:t xml:space="preserve">Conclusion: Both </w:t>
      </w:r>
      <w:proofErr w:type="spellStart"/>
      <w:r>
        <w:rPr>
          <w:rStyle w:val="s1"/>
        </w:rPr>
        <w:t>GnRH</w:t>
      </w:r>
      <w:proofErr w:type="spellEnd"/>
      <w:r>
        <w:rPr>
          <w:rStyle w:val="s1"/>
        </w:rPr>
        <w:t xml:space="preserve"> antagonist regimens with flexible doses and the </w:t>
      </w:r>
      <w:proofErr w:type="spellStart"/>
      <w:r>
        <w:rPr>
          <w:rStyle w:val="s1"/>
        </w:rPr>
        <w:t>GnRH</w:t>
      </w:r>
      <w:proofErr w:type="spellEnd"/>
      <w:r>
        <w:rPr>
          <w:rStyle w:val="s1"/>
        </w:rPr>
        <w:t xml:space="preserve"> antagonist with a half fixed dose have similar effects on the outcome of IVF. Among the factors predicting the success rate of IVF, the role of reducing the morphology of sperm and obesity is very prominent.</w:t>
      </w:r>
    </w:p>
    <w:p w14:paraId="47362D37" w14:textId="77777777" w:rsidR="00DD73F0" w:rsidRDefault="00DD73F0" w:rsidP="00687F0F">
      <w:pPr>
        <w:pStyle w:val="p1"/>
        <w:rPr>
          <w:rStyle w:val="s1"/>
        </w:rPr>
      </w:pPr>
    </w:p>
    <w:p w14:paraId="04715EB1" w14:textId="77777777" w:rsidR="00DD73F0" w:rsidRDefault="00DD73F0" w:rsidP="00687F0F">
      <w:pPr>
        <w:pStyle w:val="p1"/>
        <w:rPr>
          <w:rStyle w:val="s1"/>
        </w:rPr>
      </w:pPr>
      <w:proofErr w:type="spellStart"/>
      <w:r>
        <w:rPr>
          <w:rStyle w:val="s1"/>
        </w:rPr>
        <w:t>Biography</w:t>
      </w:r>
      <w:proofErr w:type="gramStart"/>
      <w:r>
        <w:rPr>
          <w:rStyle w:val="s1"/>
        </w:rPr>
        <w:t>:</w:t>
      </w:r>
      <w:r w:rsidR="00397959">
        <w:rPr>
          <w:rStyle w:val="s1"/>
        </w:rPr>
        <w:t>Melika</w:t>
      </w:r>
      <w:proofErr w:type="spellEnd"/>
      <w:proofErr w:type="gramEnd"/>
      <w:r w:rsidR="00397959">
        <w:rPr>
          <w:rStyle w:val="s1"/>
        </w:rPr>
        <w:t xml:space="preserve"> </w:t>
      </w:r>
      <w:proofErr w:type="spellStart"/>
      <w:r w:rsidR="00397959">
        <w:rPr>
          <w:rStyle w:val="s1"/>
        </w:rPr>
        <w:t>Assefi</w:t>
      </w:r>
      <w:proofErr w:type="spellEnd"/>
      <w:r w:rsidR="00397959">
        <w:rPr>
          <w:rStyle w:val="s1"/>
        </w:rPr>
        <w:t xml:space="preserve"> is a</w:t>
      </w:r>
      <w:r w:rsidR="00C84019">
        <w:rPr>
          <w:rStyle w:val="s1"/>
        </w:rPr>
        <w:t xml:space="preserve"> gynecologist  graduated from Tehran University of Medical Sciences</w:t>
      </w:r>
      <w:r w:rsidR="00957BDD">
        <w:rPr>
          <w:rStyle w:val="s1"/>
        </w:rPr>
        <w:t>.</w:t>
      </w:r>
    </w:p>
    <w:p w14:paraId="2F0FD886" w14:textId="77777777" w:rsidR="00755D04" w:rsidRDefault="00755D04" w:rsidP="00687F0F">
      <w:pPr>
        <w:pStyle w:val="p1"/>
        <w:rPr>
          <w:rStyle w:val="s1"/>
        </w:rPr>
      </w:pPr>
      <w:bookmarkStart w:id="0" w:name="_GoBack"/>
      <w:bookmarkEnd w:id="0"/>
    </w:p>
    <w:p w14:paraId="5A02D4AE" w14:textId="77777777" w:rsidR="0004698B" w:rsidRDefault="004450AF" w:rsidP="00247092">
      <w:pPr>
        <w:pStyle w:val="NormalWeb"/>
        <w:spacing w:before="0" w:beforeAutospacing="0" w:after="0" w:afterAutospacing="0" w:line="324" w:lineRule="atLeast"/>
        <w:divId w:val="79060709"/>
        <w:rPr>
          <w:rFonts w:ascii="-webkit-standard" w:hAnsi="-webkit-standard"/>
          <w:color w:val="000000"/>
          <w:sz w:val="27"/>
          <w:szCs w:val="27"/>
        </w:rPr>
      </w:pPr>
      <w:r>
        <w:rPr>
          <w:rStyle w:val="bumpedfont15"/>
          <w:rFonts w:ascii="-webkit-standard" w:hAnsi="-webkit-standard"/>
          <w:b/>
          <w:bCs/>
          <w:color w:val="000000"/>
          <w:sz w:val="27"/>
          <w:szCs w:val="27"/>
        </w:rPr>
        <w:lastRenderedPageBreak/>
        <w:t>Presenting author</w:t>
      </w:r>
      <w:r>
        <w:rPr>
          <w:rStyle w:val="apple-converted-space"/>
          <w:rFonts w:ascii="-webkit-standard" w:hAnsi="-webkit-standard"/>
          <w:b/>
          <w:bCs/>
          <w:color w:val="000000"/>
          <w:sz w:val="27"/>
          <w:szCs w:val="27"/>
        </w:rPr>
        <w:t> </w:t>
      </w:r>
      <w:r>
        <w:rPr>
          <w:rStyle w:val="bumpedfont15"/>
          <w:rFonts w:ascii="-webkit-standard" w:hAnsi="-webkit-standard"/>
          <w:b/>
          <w:bCs/>
          <w:color w:val="000000"/>
          <w:sz w:val="27"/>
          <w:szCs w:val="27"/>
        </w:rPr>
        <w:t>details</w:t>
      </w:r>
      <w:r>
        <w:rPr>
          <w:rStyle w:val="apple-converted-space"/>
          <w:rFonts w:ascii="-webkit-standard" w:hAnsi="-webkit-standard"/>
          <w:b/>
          <w:bCs/>
          <w:color w:val="000000"/>
          <w:sz w:val="27"/>
          <w:szCs w:val="27"/>
        </w:rPr>
        <w:t> </w:t>
      </w:r>
      <w:r>
        <w:rPr>
          <w:rFonts w:ascii="-webkit-standard" w:hAnsi="-webkit-standard"/>
          <w:b/>
          <w:bCs/>
          <w:color w:val="000000"/>
          <w:sz w:val="27"/>
          <w:szCs w:val="27"/>
        </w:rPr>
        <w:br/>
      </w:r>
      <w:r>
        <w:rPr>
          <w:rStyle w:val="bumpedfont15"/>
          <w:rFonts w:ascii="-webkit-standard" w:hAnsi="-webkit-standard"/>
          <w:color w:val="000000"/>
          <w:sz w:val="27"/>
          <w:szCs w:val="27"/>
        </w:rPr>
        <w:t>Full name:</w:t>
      </w:r>
      <w:r>
        <w:rPr>
          <w:rStyle w:val="apple-converted-space"/>
          <w:rFonts w:ascii="-webkit-standard" w:hAnsi="-webkit-standard"/>
          <w:color w:val="000000"/>
          <w:sz w:val="27"/>
          <w:szCs w:val="27"/>
        </w:rPr>
        <w:t> </w:t>
      </w:r>
      <w:proofErr w:type="spellStart"/>
      <w:r>
        <w:rPr>
          <w:rStyle w:val="apple-converted-space"/>
          <w:rFonts w:ascii="-webkit-standard" w:hAnsi="-webkit-standard"/>
          <w:color w:val="000000"/>
          <w:sz w:val="27"/>
          <w:szCs w:val="27"/>
        </w:rPr>
        <w:t>Melika</w:t>
      </w:r>
      <w:proofErr w:type="spellEnd"/>
      <w:r>
        <w:rPr>
          <w:rStyle w:val="apple-converted-space"/>
          <w:rFonts w:ascii="-webkit-standard" w:hAnsi="-webkit-standard"/>
          <w:color w:val="000000"/>
          <w:sz w:val="27"/>
          <w:szCs w:val="27"/>
        </w:rPr>
        <w:t xml:space="preserve"> </w:t>
      </w:r>
      <w:proofErr w:type="spellStart"/>
      <w:r>
        <w:rPr>
          <w:rStyle w:val="apple-converted-space"/>
          <w:rFonts w:ascii="-webkit-standard" w:hAnsi="-webkit-standard"/>
          <w:color w:val="000000"/>
          <w:sz w:val="27"/>
          <w:szCs w:val="27"/>
        </w:rPr>
        <w:t>Assefi</w:t>
      </w:r>
      <w:proofErr w:type="spellEnd"/>
    </w:p>
    <w:p w14:paraId="1B4F1238" w14:textId="39A5F03A" w:rsidR="004450AF" w:rsidRDefault="004450AF" w:rsidP="00247092">
      <w:pPr>
        <w:pStyle w:val="NormalWeb"/>
        <w:spacing w:before="0" w:beforeAutospacing="0" w:after="0" w:afterAutospacing="0" w:line="324" w:lineRule="atLeast"/>
        <w:divId w:val="79060709"/>
        <w:rPr>
          <w:rFonts w:ascii="-webkit-standard" w:hAnsi="-webkit-standard"/>
          <w:color w:val="000000"/>
          <w:sz w:val="27"/>
          <w:szCs w:val="27"/>
        </w:rPr>
      </w:pPr>
      <w:r>
        <w:rPr>
          <w:rStyle w:val="bumpedfont15"/>
          <w:rFonts w:ascii="-webkit-standard" w:hAnsi="-webkit-standard"/>
          <w:color w:val="000000"/>
          <w:sz w:val="27"/>
          <w:szCs w:val="27"/>
        </w:rPr>
        <w:t>Contact number</w:t>
      </w:r>
      <w:proofErr w:type="gramStart"/>
      <w:r>
        <w:rPr>
          <w:rStyle w:val="bumpedfont15"/>
          <w:rFonts w:ascii="-webkit-standard" w:hAnsi="-webkit-standard"/>
          <w:color w:val="000000"/>
          <w:sz w:val="27"/>
          <w:szCs w:val="27"/>
        </w:rPr>
        <w:t>:</w:t>
      </w:r>
      <w:r w:rsidR="00C9740B">
        <w:rPr>
          <w:rStyle w:val="bumpedfont15"/>
          <w:rFonts w:ascii="-webkit-standard" w:hAnsi="-webkit-standard"/>
          <w:color w:val="000000"/>
          <w:sz w:val="27"/>
          <w:szCs w:val="27"/>
        </w:rPr>
        <w:t>0098</w:t>
      </w:r>
      <w:proofErr w:type="gramEnd"/>
      <w:r w:rsidR="00C9740B">
        <w:rPr>
          <w:rStyle w:val="bumpedfont15"/>
          <w:rFonts w:ascii="-webkit-standard" w:hAnsi="-webkit-standard"/>
          <w:color w:val="000000"/>
          <w:sz w:val="27"/>
          <w:szCs w:val="27"/>
        </w:rPr>
        <w:t>-9121207106</w:t>
      </w:r>
      <w:r>
        <w:rPr>
          <w:rFonts w:ascii="-webkit-standard" w:hAnsi="-webkit-standard"/>
          <w:color w:val="000000"/>
          <w:sz w:val="27"/>
          <w:szCs w:val="27"/>
        </w:rPr>
        <w:br/>
      </w:r>
      <w:r>
        <w:rPr>
          <w:rStyle w:val="bumpedfont15"/>
          <w:rFonts w:ascii="-webkit-standard" w:hAnsi="-webkit-standard"/>
          <w:color w:val="000000"/>
          <w:sz w:val="27"/>
          <w:szCs w:val="27"/>
        </w:rPr>
        <w:t>Category: Oral presentation</w:t>
      </w:r>
    </w:p>
    <w:p w14:paraId="437AAEA2" w14:textId="77777777" w:rsidR="004450AF" w:rsidRDefault="004450AF">
      <w:pPr>
        <w:pStyle w:val="NormalWeb"/>
        <w:spacing w:before="0" w:beforeAutospacing="0" w:after="0" w:afterAutospacing="0" w:line="324" w:lineRule="atLeast"/>
        <w:divId w:val="79060709"/>
        <w:rPr>
          <w:rFonts w:ascii="-webkit-standard" w:hAnsi="-webkit-standard"/>
          <w:color w:val="000000"/>
          <w:sz w:val="27"/>
          <w:szCs w:val="27"/>
        </w:rPr>
      </w:pPr>
      <w:r>
        <w:rPr>
          <w:rFonts w:ascii="-webkit-standard" w:hAnsi="-webkit-standard"/>
          <w:color w:val="000000"/>
          <w:sz w:val="27"/>
          <w:szCs w:val="27"/>
        </w:rPr>
        <w:t> </w:t>
      </w:r>
    </w:p>
    <w:p w14:paraId="548A50D8" w14:textId="77777777" w:rsidR="00EA3165" w:rsidRDefault="00EA3165"/>
    <w:sectPr w:rsidR="00EA31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pleSystemUIFont">
    <w:altName w:val="Cambria"/>
    <w:charset w:val="00"/>
    <w:family w:val="roman"/>
    <w:pitch w:val="default"/>
  </w:font>
  <w:font w:name=".SFUI-Regular">
    <w:altName w:val="Cambria"/>
    <w:charset w:val="00"/>
    <w:family w:val="roman"/>
    <w:pitch w:val="default"/>
  </w:font>
  <w:font w:name="-webkit-standard">
    <w:altName w:val="Cambria"/>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165"/>
    <w:rsid w:val="0004698B"/>
    <w:rsid w:val="00247092"/>
    <w:rsid w:val="00315A1A"/>
    <w:rsid w:val="00397959"/>
    <w:rsid w:val="003C266F"/>
    <w:rsid w:val="00412A53"/>
    <w:rsid w:val="004450AF"/>
    <w:rsid w:val="00755D04"/>
    <w:rsid w:val="00755FFD"/>
    <w:rsid w:val="008551AB"/>
    <w:rsid w:val="008F7BEF"/>
    <w:rsid w:val="009551E2"/>
    <w:rsid w:val="00957BDD"/>
    <w:rsid w:val="00C00BC2"/>
    <w:rsid w:val="00C84019"/>
    <w:rsid w:val="00C9740B"/>
    <w:rsid w:val="00D54972"/>
    <w:rsid w:val="00DD73F0"/>
    <w:rsid w:val="00EA3165"/>
    <w:rsid w:val="00F07F60"/>
    <w:rsid w:val="00F842AD"/>
    <w:rsid w:val="00F94C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53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EA3165"/>
    <w:rPr>
      <w:rFonts w:ascii=".AppleSystemUIFont" w:hAnsi=".AppleSystemUIFont" w:cs="Times New Roman"/>
      <w:sz w:val="26"/>
      <w:szCs w:val="26"/>
    </w:rPr>
  </w:style>
  <w:style w:type="character" w:customStyle="1" w:styleId="s1">
    <w:name w:val="s1"/>
    <w:basedOn w:val="DefaultParagraphFont"/>
    <w:rsid w:val="00EA3165"/>
    <w:rPr>
      <w:rFonts w:ascii=".SFUI-Regular" w:hAnsi=".SFUI-Regular" w:hint="default"/>
      <w:b w:val="0"/>
      <w:bCs w:val="0"/>
      <w:i w:val="0"/>
      <w:iCs w:val="0"/>
      <w:sz w:val="26"/>
      <w:szCs w:val="26"/>
    </w:rPr>
  </w:style>
  <w:style w:type="character" w:customStyle="1" w:styleId="apple-converted-space">
    <w:name w:val="apple-converted-space"/>
    <w:basedOn w:val="DefaultParagraphFont"/>
    <w:rsid w:val="00EA3165"/>
  </w:style>
  <w:style w:type="paragraph" w:styleId="NormalWeb">
    <w:name w:val="Normal (Web)"/>
    <w:basedOn w:val="Normal"/>
    <w:uiPriority w:val="99"/>
    <w:semiHidden/>
    <w:unhideWhenUsed/>
    <w:rsid w:val="004450AF"/>
    <w:pPr>
      <w:spacing w:before="100" w:beforeAutospacing="1" w:after="100" w:afterAutospacing="1"/>
    </w:pPr>
    <w:rPr>
      <w:rFonts w:ascii="Times New Roman" w:hAnsi="Times New Roman" w:cs="Times New Roman"/>
      <w:sz w:val="24"/>
      <w:szCs w:val="24"/>
    </w:rPr>
  </w:style>
  <w:style w:type="character" w:customStyle="1" w:styleId="bumpedfont15">
    <w:name w:val="bumpedfont15"/>
    <w:basedOn w:val="DefaultParagraphFont"/>
    <w:rsid w:val="004450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EA3165"/>
    <w:rPr>
      <w:rFonts w:ascii=".AppleSystemUIFont" w:hAnsi=".AppleSystemUIFont" w:cs="Times New Roman"/>
      <w:sz w:val="26"/>
      <w:szCs w:val="26"/>
    </w:rPr>
  </w:style>
  <w:style w:type="character" w:customStyle="1" w:styleId="s1">
    <w:name w:val="s1"/>
    <w:basedOn w:val="DefaultParagraphFont"/>
    <w:rsid w:val="00EA3165"/>
    <w:rPr>
      <w:rFonts w:ascii=".SFUI-Regular" w:hAnsi=".SFUI-Regular" w:hint="default"/>
      <w:b w:val="0"/>
      <w:bCs w:val="0"/>
      <w:i w:val="0"/>
      <w:iCs w:val="0"/>
      <w:sz w:val="26"/>
      <w:szCs w:val="26"/>
    </w:rPr>
  </w:style>
  <w:style w:type="character" w:customStyle="1" w:styleId="apple-converted-space">
    <w:name w:val="apple-converted-space"/>
    <w:basedOn w:val="DefaultParagraphFont"/>
    <w:rsid w:val="00EA3165"/>
  </w:style>
  <w:style w:type="paragraph" w:styleId="NormalWeb">
    <w:name w:val="Normal (Web)"/>
    <w:basedOn w:val="Normal"/>
    <w:uiPriority w:val="99"/>
    <w:semiHidden/>
    <w:unhideWhenUsed/>
    <w:rsid w:val="004450AF"/>
    <w:pPr>
      <w:spacing w:before="100" w:beforeAutospacing="1" w:after="100" w:afterAutospacing="1"/>
    </w:pPr>
    <w:rPr>
      <w:rFonts w:ascii="Times New Roman" w:hAnsi="Times New Roman" w:cs="Times New Roman"/>
      <w:sz w:val="24"/>
      <w:szCs w:val="24"/>
    </w:rPr>
  </w:style>
  <w:style w:type="character" w:customStyle="1" w:styleId="bumpedfont15">
    <w:name w:val="bumpedfont15"/>
    <w:basedOn w:val="DefaultParagraphFont"/>
    <w:rsid w:val="004450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060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408</Words>
  <Characters>2327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melika_assefi2@yahoo.com</dc:creator>
  <cp:lastModifiedBy>6th World Congress On Public Health And Nutrition</cp:lastModifiedBy>
  <cp:revision>2</cp:revision>
  <dcterms:created xsi:type="dcterms:W3CDTF">2022-08-23T06:25:00Z</dcterms:created>
  <dcterms:modified xsi:type="dcterms:W3CDTF">2022-08-23T06:25:00Z</dcterms:modified>
</cp:coreProperties>
</file>