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6ED" w:rsidRPr="004F36ED" w:rsidRDefault="004F36ED" w:rsidP="004F36ED">
      <w:pPr>
        <w:jc w:val="center"/>
        <w:rPr>
          <w:rFonts w:asciiTheme="majorBidi" w:hAnsiTheme="majorBidi" w:cstheme="majorBidi"/>
          <w:b/>
          <w:bCs/>
          <w:sz w:val="24"/>
          <w:szCs w:val="24"/>
          <w:lang w:val="en-US"/>
        </w:rPr>
      </w:pPr>
      <w:r w:rsidRPr="004F36ED">
        <w:rPr>
          <w:rFonts w:asciiTheme="majorBidi" w:hAnsiTheme="majorBidi" w:cstheme="majorBidi"/>
          <w:b/>
          <w:bCs/>
          <w:sz w:val="24"/>
          <w:szCs w:val="24"/>
          <w:lang w:val="en-US"/>
        </w:rPr>
        <w:t>Theoretical investigation of the mechanism of the Diels Alder cycloaddition reaction of the substituted 2-furoic with the maleimides</w:t>
      </w:r>
    </w:p>
    <w:p w:rsidR="004F36ED" w:rsidRPr="0019543E" w:rsidRDefault="00597352" w:rsidP="00597352">
      <w:pPr>
        <w:jc w:val="center"/>
        <w:rPr>
          <w:rFonts w:asciiTheme="majorBidi" w:hAnsiTheme="majorBidi" w:cstheme="majorBidi"/>
          <w:b/>
          <w:bCs/>
          <w:sz w:val="24"/>
          <w:szCs w:val="24"/>
          <w:lang w:val="en-US"/>
        </w:rPr>
      </w:pPr>
      <w:proofErr w:type="spellStart"/>
      <w:r w:rsidRPr="0019543E">
        <w:rPr>
          <w:rFonts w:asciiTheme="majorBidi" w:hAnsiTheme="majorBidi" w:cstheme="majorBidi"/>
          <w:b/>
          <w:bCs/>
          <w:sz w:val="24"/>
          <w:szCs w:val="24"/>
          <w:u w:val="single"/>
          <w:lang w:val="en-US"/>
        </w:rPr>
        <w:t>Boutadghart</w:t>
      </w:r>
      <w:proofErr w:type="spellEnd"/>
      <w:r w:rsidRPr="0019543E">
        <w:rPr>
          <w:rFonts w:asciiTheme="majorBidi" w:hAnsiTheme="majorBidi" w:cstheme="majorBidi"/>
          <w:b/>
          <w:bCs/>
          <w:sz w:val="24"/>
          <w:szCs w:val="24"/>
          <w:u w:val="single"/>
          <w:lang w:val="en-US"/>
        </w:rPr>
        <w:t xml:space="preserve"> </w:t>
      </w:r>
      <w:proofErr w:type="spellStart"/>
      <w:r w:rsidRPr="0019543E">
        <w:rPr>
          <w:rFonts w:asciiTheme="majorBidi" w:hAnsiTheme="majorBidi" w:cstheme="majorBidi"/>
          <w:b/>
          <w:bCs/>
          <w:sz w:val="24"/>
          <w:szCs w:val="24"/>
          <w:u w:val="single"/>
          <w:lang w:val="en-US"/>
        </w:rPr>
        <w:t>Tarik</w:t>
      </w:r>
      <w:proofErr w:type="spellEnd"/>
      <w:r w:rsidRPr="0019543E">
        <w:rPr>
          <w:rFonts w:asciiTheme="majorBidi" w:hAnsiTheme="majorBidi" w:cstheme="majorBidi"/>
          <w:b/>
          <w:bCs/>
          <w:sz w:val="24"/>
          <w:szCs w:val="24"/>
          <w:lang w:val="en-US"/>
        </w:rPr>
        <w:t xml:space="preserve">, </w:t>
      </w:r>
      <w:proofErr w:type="spellStart"/>
      <w:r w:rsidRPr="0019543E">
        <w:rPr>
          <w:rFonts w:asciiTheme="majorBidi" w:hAnsiTheme="majorBidi" w:cstheme="majorBidi"/>
          <w:b/>
          <w:bCs/>
          <w:sz w:val="24"/>
          <w:szCs w:val="24"/>
          <w:lang w:val="en-US"/>
        </w:rPr>
        <w:t>GhailaneRachida</w:t>
      </w:r>
      <w:proofErr w:type="spellEnd"/>
      <w:r w:rsidRPr="0019543E">
        <w:rPr>
          <w:rFonts w:asciiTheme="majorBidi" w:hAnsiTheme="majorBidi" w:cstheme="majorBidi"/>
          <w:b/>
          <w:bCs/>
          <w:sz w:val="24"/>
          <w:szCs w:val="24"/>
          <w:lang w:val="en-US"/>
        </w:rPr>
        <w:t>*</w:t>
      </w:r>
      <w:r w:rsidR="00E9775B" w:rsidRPr="0019543E">
        <w:rPr>
          <w:rFonts w:asciiTheme="majorBidi" w:hAnsiTheme="majorBidi" w:cstheme="majorBidi"/>
          <w:b/>
          <w:bCs/>
          <w:sz w:val="24"/>
          <w:szCs w:val="24"/>
          <w:vertAlign w:val="superscript"/>
          <w:lang w:val="en-US"/>
        </w:rPr>
        <w:t>a</w:t>
      </w:r>
    </w:p>
    <w:p w:rsidR="00A651F6" w:rsidRPr="00F65983" w:rsidRDefault="00A651F6" w:rsidP="00A651F6">
      <w:pPr>
        <w:autoSpaceDE w:val="0"/>
        <w:autoSpaceDN w:val="0"/>
        <w:adjustRightInd w:val="0"/>
        <w:jc w:val="center"/>
        <w:rPr>
          <w:rFonts w:asciiTheme="majorBidi" w:hAnsiTheme="majorBidi" w:cstheme="majorBidi"/>
          <w:iCs/>
          <w:sz w:val="24"/>
          <w:szCs w:val="24"/>
          <w:lang w:val="en-US"/>
        </w:rPr>
      </w:pPr>
      <w:r w:rsidRPr="00F65983">
        <w:rPr>
          <w:rFonts w:asciiTheme="majorBidi" w:hAnsiTheme="majorBidi" w:cstheme="majorBidi"/>
          <w:iCs/>
          <w:sz w:val="24"/>
          <w:szCs w:val="24"/>
          <w:vertAlign w:val="superscript"/>
          <w:lang w:val="en-US"/>
        </w:rPr>
        <w:t>a</w:t>
      </w:r>
      <w:r w:rsidRPr="00F65983">
        <w:rPr>
          <w:rFonts w:asciiTheme="majorBidi" w:hAnsiTheme="majorBidi" w:cstheme="majorBidi"/>
          <w:iCs/>
          <w:sz w:val="24"/>
          <w:szCs w:val="24"/>
          <w:lang w:val="en-US"/>
        </w:rPr>
        <w:t xml:space="preserve"> Laboratory of Organic Chemistry, </w:t>
      </w:r>
      <w:r w:rsidRPr="00F65983">
        <w:rPr>
          <w:rFonts w:asciiTheme="majorBidi" w:hAnsiTheme="majorBidi" w:cstheme="majorBidi"/>
          <w:sz w:val="24"/>
          <w:szCs w:val="24"/>
          <w:lang w:val="en-US"/>
        </w:rPr>
        <w:t xml:space="preserve">Catalysis </w:t>
      </w:r>
      <w:r w:rsidRPr="00F65983">
        <w:rPr>
          <w:rFonts w:asciiTheme="majorBidi" w:hAnsiTheme="majorBidi" w:cstheme="majorBidi"/>
          <w:iCs/>
          <w:sz w:val="24"/>
          <w:szCs w:val="24"/>
          <w:lang w:val="en-US"/>
        </w:rPr>
        <w:t xml:space="preserve">and Environment. Theoretical chemistry and modeling </w:t>
      </w:r>
      <w:proofErr w:type="spellStart"/>
      <w:r w:rsidRPr="00F65983">
        <w:rPr>
          <w:rFonts w:asciiTheme="majorBidi" w:hAnsiTheme="majorBidi" w:cstheme="majorBidi"/>
          <w:iCs/>
          <w:sz w:val="24"/>
          <w:szCs w:val="24"/>
          <w:lang w:val="en-US"/>
        </w:rPr>
        <w:t>unit.University</w:t>
      </w:r>
      <w:proofErr w:type="spellEnd"/>
      <w:r w:rsidRPr="00F65983">
        <w:rPr>
          <w:rFonts w:asciiTheme="majorBidi" w:hAnsiTheme="majorBidi" w:cstheme="majorBidi"/>
          <w:iCs/>
          <w:sz w:val="24"/>
          <w:szCs w:val="24"/>
          <w:lang w:val="en-US"/>
        </w:rPr>
        <w:t xml:space="preserve"> </w:t>
      </w:r>
      <w:proofErr w:type="spellStart"/>
      <w:r w:rsidRPr="00F65983">
        <w:rPr>
          <w:rFonts w:asciiTheme="majorBidi" w:hAnsiTheme="majorBidi" w:cstheme="majorBidi"/>
          <w:iCs/>
          <w:sz w:val="24"/>
          <w:szCs w:val="24"/>
          <w:lang w:val="en-US"/>
        </w:rPr>
        <w:t>IbnTofail</w:t>
      </w:r>
      <w:proofErr w:type="spellEnd"/>
      <w:r w:rsidRPr="00F65983">
        <w:rPr>
          <w:rFonts w:asciiTheme="majorBidi" w:hAnsiTheme="majorBidi" w:cstheme="majorBidi"/>
          <w:iCs/>
          <w:sz w:val="24"/>
          <w:szCs w:val="24"/>
          <w:lang w:val="en-US"/>
        </w:rPr>
        <w:t xml:space="preserve">, Faculty of Science, </w:t>
      </w:r>
      <w:r w:rsidRPr="00F65983">
        <w:rPr>
          <w:rFonts w:asciiTheme="majorBidi" w:hAnsiTheme="majorBidi" w:cstheme="majorBidi"/>
          <w:sz w:val="24"/>
          <w:szCs w:val="24"/>
          <w:lang w:val="en-US"/>
        </w:rPr>
        <w:t xml:space="preserve">Po Box </w:t>
      </w:r>
      <w:r w:rsidRPr="00F65983">
        <w:rPr>
          <w:rFonts w:asciiTheme="majorBidi" w:hAnsiTheme="majorBidi" w:cstheme="majorBidi"/>
          <w:iCs/>
          <w:sz w:val="24"/>
          <w:szCs w:val="24"/>
          <w:lang w:val="en-US"/>
        </w:rPr>
        <w:t xml:space="preserve">133, 14000 </w:t>
      </w:r>
      <w:proofErr w:type="spellStart"/>
      <w:r w:rsidRPr="00F65983">
        <w:rPr>
          <w:rFonts w:asciiTheme="majorBidi" w:hAnsiTheme="majorBidi" w:cstheme="majorBidi"/>
          <w:iCs/>
          <w:sz w:val="24"/>
          <w:szCs w:val="24"/>
          <w:lang w:val="en-US"/>
        </w:rPr>
        <w:t>Kenitra</w:t>
      </w:r>
      <w:proofErr w:type="spellEnd"/>
      <w:r w:rsidRPr="00F65983">
        <w:rPr>
          <w:rFonts w:asciiTheme="majorBidi" w:hAnsiTheme="majorBidi" w:cstheme="majorBidi"/>
          <w:iCs/>
          <w:sz w:val="24"/>
          <w:szCs w:val="24"/>
          <w:lang w:val="en-US"/>
        </w:rPr>
        <w:t>, Morocco</w:t>
      </w:r>
    </w:p>
    <w:p w:rsidR="00597352" w:rsidRPr="0019543E" w:rsidRDefault="00597352" w:rsidP="00597352">
      <w:pPr>
        <w:jc w:val="both"/>
        <w:rPr>
          <w:rStyle w:val="Lienhypertexte"/>
          <w:rFonts w:asciiTheme="majorBidi" w:hAnsiTheme="majorBidi" w:cstheme="majorBidi"/>
          <w:sz w:val="24"/>
          <w:szCs w:val="24"/>
        </w:rPr>
      </w:pPr>
      <w:r w:rsidRPr="0019543E">
        <w:rPr>
          <w:rFonts w:asciiTheme="majorBidi" w:hAnsiTheme="majorBidi" w:cstheme="majorBidi"/>
          <w:sz w:val="24"/>
          <w:szCs w:val="24"/>
        </w:rPr>
        <w:t xml:space="preserve">Email : </w:t>
      </w:r>
      <w:hyperlink r:id="rId4" w:history="1">
        <w:r w:rsidRPr="0019543E">
          <w:rPr>
            <w:rStyle w:val="Lienhypertexte"/>
            <w:rFonts w:asciiTheme="majorBidi" w:hAnsiTheme="majorBidi" w:cstheme="majorBidi"/>
            <w:sz w:val="24"/>
            <w:szCs w:val="24"/>
          </w:rPr>
          <w:t>tarikboutadghart5@gmail.com</w:t>
        </w:r>
      </w:hyperlink>
      <w:r w:rsidR="00E9775B" w:rsidRPr="0019543E">
        <w:rPr>
          <w:rFonts w:asciiTheme="majorBidi" w:hAnsiTheme="majorBidi" w:cstheme="majorBidi"/>
          <w:sz w:val="24"/>
          <w:szCs w:val="24"/>
        </w:rPr>
        <w:t xml:space="preserve"> ; </w:t>
      </w:r>
      <w:r w:rsidR="00E9775B" w:rsidRPr="0019543E">
        <w:rPr>
          <w:rStyle w:val="Lienhypertexte"/>
          <w:rFonts w:asciiTheme="majorBidi" w:hAnsiTheme="majorBidi" w:cstheme="majorBidi"/>
          <w:sz w:val="24"/>
          <w:szCs w:val="24"/>
        </w:rPr>
        <w:t>ghailane_r@yahoo.fr</w:t>
      </w:r>
    </w:p>
    <w:p w:rsidR="00A651F6" w:rsidRDefault="00A651F6" w:rsidP="00597352">
      <w:pPr>
        <w:jc w:val="both"/>
        <w:rPr>
          <w:rFonts w:asciiTheme="majorBidi" w:hAnsiTheme="majorBidi" w:cstheme="majorBidi"/>
          <w:b/>
          <w:bCs/>
          <w:sz w:val="24"/>
          <w:szCs w:val="24"/>
        </w:rPr>
      </w:pPr>
    </w:p>
    <w:p w:rsidR="00597352" w:rsidRPr="00597352" w:rsidRDefault="00597352" w:rsidP="00597352">
      <w:pPr>
        <w:jc w:val="both"/>
        <w:rPr>
          <w:rFonts w:asciiTheme="majorBidi" w:hAnsiTheme="majorBidi" w:cstheme="majorBidi"/>
          <w:b/>
          <w:bCs/>
          <w:sz w:val="24"/>
          <w:szCs w:val="24"/>
        </w:rPr>
      </w:pPr>
      <w:r>
        <w:rPr>
          <w:rFonts w:asciiTheme="majorBidi" w:hAnsiTheme="majorBidi" w:cstheme="majorBidi"/>
          <w:b/>
          <w:bCs/>
          <w:sz w:val="24"/>
          <w:szCs w:val="24"/>
        </w:rPr>
        <w:t xml:space="preserve">Abstract </w:t>
      </w:r>
    </w:p>
    <w:p w:rsidR="00597352" w:rsidRDefault="004F36ED" w:rsidP="00597352">
      <w:pPr>
        <w:jc w:val="both"/>
        <w:rPr>
          <w:rFonts w:asciiTheme="majorBidi" w:hAnsiTheme="majorBidi" w:cstheme="majorBidi"/>
          <w:b/>
          <w:bCs/>
          <w:sz w:val="24"/>
          <w:szCs w:val="24"/>
          <w:lang w:val="en-US"/>
        </w:rPr>
      </w:pPr>
      <w:r w:rsidRPr="004F36ED">
        <w:rPr>
          <w:rFonts w:asciiTheme="majorBidi" w:hAnsiTheme="majorBidi" w:cstheme="majorBidi"/>
          <w:sz w:val="24"/>
          <w:szCs w:val="24"/>
          <w:lang w:val="en-US"/>
        </w:rPr>
        <w:t>The mechanism of the Diels Alder reaction between substituted furan-2-carboxylic acid (diene) and 1-methyl-1H-pyrrole-2.5-dione (dienophile) was investigated using density functional theory (B3LYP/6-31G(d)). The global indices namely the electronic chemical potential (µ) and the chemical hardness (ƞ) let us conclude that the diene behaves as a nucleophile and the dienophil</w:t>
      </w:r>
      <w:r w:rsidR="00E9775B">
        <w:rPr>
          <w:rFonts w:asciiTheme="majorBidi" w:hAnsiTheme="majorBidi" w:cstheme="majorBidi"/>
          <w:sz w:val="24"/>
          <w:szCs w:val="24"/>
          <w:lang w:val="en-US"/>
        </w:rPr>
        <w:t>e</w:t>
      </w:r>
      <w:r w:rsidRPr="004F36ED">
        <w:rPr>
          <w:rFonts w:asciiTheme="majorBidi" w:hAnsiTheme="majorBidi" w:cstheme="majorBidi"/>
          <w:sz w:val="24"/>
          <w:szCs w:val="24"/>
          <w:lang w:val="en-US"/>
        </w:rPr>
        <w:t xml:space="preserve"> acts as anelectrophile. On the other hand, the explanation of the regioselectivity is undertaken basing on the local indices (Fukui indices) analysis that confirms the results obtained above. On the other hand, the reaction </w:t>
      </w:r>
      <w:r w:rsidR="00E9775B" w:rsidRPr="004F36ED">
        <w:rPr>
          <w:rFonts w:asciiTheme="majorBidi" w:hAnsiTheme="majorBidi" w:cstheme="majorBidi"/>
          <w:sz w:val="24"/>
          <w:szCs w:val="24"/>
          <w:lang w:val="en-US"/>
        </w:rPr>
        <w:t>mechanism</w:t>
      </w:r>
      <w:r w:rsidRPr="004F36ED">
        <w:rPr>
          <w:rFonts w:asciiTheme="majorBidi" w:hAnsiTheme="majorBidi" w:cstheme="majorBidi"/>
          <w:sz w:val="24"/>
          <w:szCs w:val="24"/>
          <w:lang w:val="en-US"/>
        </w:rPr>
        <w:t xml:space="preserve"> has been studied using the transition states theory</w:t>
      </w:r>
      <w:r w:rsidR="00E9775B">
        <w:rPr>
          <w:rFonts w:asciiTheme="majorBidi" w:hAnsiTheme="majorBidi" w:cstheme="majorBidi"/>
          <w:sz w:val="24"/>
          <w:szCs w:val="24"/>
          <w:lang w:val="en-US"/>
        </w:rPr>
        <w:t xml:space="preserve"> (TST</w:t>
      </w:r>
      <w:proofErr w:type="gramStart"/>
      <w:r w:rsidR="00E9775B">
        <w:rPr>
          <w:rFonts w:asciiTheme="majorBidi" w:hAnsiTheme="majorBidi" w:cstheme="majorBidi"/>
          <w:sz w:val="24"/>
          <w:szCs w:val="24"/>
          <w:lang w:val="en-US"/>
        </w:rPr>
        <w:t>)</w:t>
      </w:r>
      <w:r w:rsidR="00811A8F">
        <w:rPr>
          <w:rFonts w:asciiTheme="majorBidi" w:hAnsiTheme="majorBidi" w:cstheme="majorBidi"/>
          <w:sz w:val="24"/>
          <w:szCs w:val="24"/>
          <w:lang w:val="en-US"/>
        </w:rPr>
        <w:t>[</w:t>
      </w:r>
      <w:proofErr w:type="gramEnd"/>
      <w:r w:rsidR="00811A8F">
        <w:rPr>
          <w:rFonts w:asciiTheme="majorBidi" w:hAnsiTheme="majorBidi" w:cstheme="majorBidi"/>
          <w:sz w:val="24"/>
          <w:szCs w:val="24"/>
          <w:lang w:val="en-US"/>
        </w:rPr>
        <w:t>1]</w:t>
      </w:r>
      <w:r w:rsidRPr="004F36ED">
        <w:rPr>
          <w:rFonts w:asciiTheme="majorBidi" w:hAnsiTheme="majorBidi" w:cstheme="majorBidi"/>
          <w:sz w:val="24"/>
          <w:szCs w:val="24"/>
          <w:lang w:val="en-US"/>
        </w:rPr>
        <w:t>, all the stationary points on the potential surface have been characterized by vibrational calculations</w:t>
      </w:r>
      <w:r w:rsidR="00E9775B">
        <w:rPr>
          <w:rFonts w:asciiTheme="majorBidi" w:hAnsiTheme="majorBidi" w:cstheme="majorBidi"/>
          <w:sz w:val="24"/>
          <w:szCs w:val="24"/>
          <w:lang w:val="en-US"/>
        </w:rPr>
        <w:t>. T</w:t>
      </w:r>
      <w:r w:rsidRPr="004F36ED">
        <w:rPr>
          <w:rFonts w:asciiTheme="majorBidi" w:hAnsiTheme="majorBidi" w:cstheme="majorBidi"/>
          <w:sz w:val="24"/>
          <w:szCs w:val="24"/>
          <w:lang w:val="en-US"/>
        </w:rPr>
        <w:t>he energy profile clearly shows that the product P1(</w:t>
      </w:r>
      <w:proofErr w:type="spellStart"/>
      <w:r w:rsidRPr="004F36ED">
        <w:rPr>
          <w:rFonts w:asciiTheme="majorBidi" w:hAnsiTheme="majorBidi" w:cstheme="majorBidi"/>
          <w:sz w:val="24"/>
          <w:szCs w:val="24"/>
          <w:lang w:val="en-US"/>
        </w:rPr>
        <w:t>exo</w:t>
      </w:r>
      <w:proofErr w:type="spellEnd"/>
      <w:r w:rsidRPr="004F36ED">
        <w:rPr>
          <w:rFonts w:asciiTheme="majorBidi" w:hAnsiTheme="majorBidi" w:cstheme="majorBidi"/>
          <w:sz w:val="24"/>
          <w:szCs w:val="24"/>
          <w:lang w:val="en-US"/>
        </w:rPr>
        <w:t xml:space="preserve">) is the most favorable because of its kinetic and thermodynamic stability that is deduced from the comparison of its activation </w:t>
      </w:r>
      <w:r w:rsidR="00E9775B">
        <w:rPr>
          <w:rFonts w:asciiTheme="majorBidi" w:hAnsiTheme="majorBidi" w:cstheme="majorBidi"/>
          <w:sz w:val="24"/>
          <w:szCs w:val="24"/>
          <w:lang w:val="en-US"/>
        </w:rPr>
        <w:t>barrier</w:t>
      </w:r>
      <w:r w:rsidRPr="004F36ED">
        <w:rPr>
          <w:rFonts w:asciiTheme="majorBidi" w:hAnsiTheme="majorBidi" w:cstheme="majorBidi"/>
          <w:sz w:val="24"/>
          <w:szCs w:val="24"/>
          <w:lang w:val="en-US"/>
        </w:rPr>
        <w:t xml:space="preserve"> and its reaction energy value with the ones of the other products studied in this work.</w:t>
      </w:r>
    </w:p>
    <w:p w:rsidR="00597352" w:rsidRDefault="00597352" w:rsidP="00597352">
      <w:pPr>
        <w:jc w:val="center"/>
        <w:rPr>
          <w:lang w:val="en-US"/>
        </w:rPr>
      </w:pPr>
    </w:p>
    <w:p w:rsidR="00F52ADF" w:rsidRDefault="004468E8" w:rsidP="00597352">
      <w:pPr>
        <w:jc w:val="center"/>
        <w:rPr>
          <w:lang w:val="en-US"/>
        </w:rPr>
      </w:pPr>
      <w:r>
        <w:rPr>
          <w:noProof/>
        </w:rPr>
        <w:drawing>
          <wp:inline distT="0" distB="0" distL="0" distR="0">
            <wp:extent cx="44196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19600" cy="1524000"/>
                    </a:xfrm>
                    <a:prstGeom prst="rect">
                      <a:avLst/>
                    </a:prstGeom>
                    <a:noFill/>
                    <a:ln>
                      <a:noFill/>
                    </a:ln>
                  </pic:spPr>
                </pic:pic>
              </a:graphicData>
            </a:graphic>
          </wp:inline>
        </w:drawing>
      </w:r>
    </w:p>
    <w:p w:rsidR="00F52ADF" w:rsidRPr="00F52ADF" w:rsidRDefault="00F52ADF" w:rsidP="00597352">
      <w:pPr>
        <w:jc w:val="center"/>
        <w:rPr>
          <w:rFonts w:asciiTheme="majorBidi" w:hAnsiTheme="majorBidi" w:cstheme="majorBidi"/>
          <w:sz w:val="24"/>
          <w:szCs w:val="24"/>
          <w:lang w:val="en-US"/>
        </w:rPr>
      </w:pPr>
      <w:r w:rsidRPr="00F52ADF">
        <w:rPr>
          <w:rFonts w:asciiTheme="majorBidi" w:hAnsiTheme="majorBidi" w:cstheme="majorBidi"/>
          <w:sz w:val="24"/>
          <w:szCs w:val="24"/>
          <w:lang w:val="en-US"/>
        </w:rPr>
        <w:t xml:space="preserve">Diels–Alder reactions between substituted 2-furoic (diene) and </w:t>
      </w:r>
      <w:proofErr w:type="spellStart"/>
      <w:r w:rsidRPr="00F52ADF">
        <w:rPr>
          <w:rFonts w:asciiTheme="majorBidi" w:hAnsiTheme="majorBidi" w:cstheme="majorBidi"/>
          <w:sz w:val="24"/>
          <w:szCs w:val="24"/>
          <w:lang w:val="en-US"/>
        </w:rPr>
        <w:t>maleimides</w:t>
      </w:r>
      <w:proofErr w:type="spellEnd"/>
      <w:r w:rsidRPr="00F52ADF">
        <w:rPr>
          <w:rFonts w:asciiTheme="majorBidi" w:hAnsiTheme="majorBidi" w:cstheme="majorBidi"/>
          <w:sz w:val="24"/>
          <w:szCs w:val="24"/>
          <w:lang w:val="en-US"/>
        </w:rPr>
        <w:t xml:space="preserve"> (</w:t>
      </w:r>
      <w:proofErr w:type="spellStart"/>
      <w:r w:rsidRPr="00F52ADF">
        <w:rPr>
          <w:rFonts w:asciiTheme="majorBidi" w:hAnsiTheme="majorBidi" w:cstheme="majorBidi"/>
          <w:sz w:val="24"/>
          <w:szCs w:val="24"/>
          <w:lang w:val="en-US"/>
        </w:rPr>
        <w:t>dinophile</w:t>
      </w:r>
      <w:proofErr w:type="spellEnd"/>
      <w:r w:rsidRPr="00F52ADF">
        <w:rPr>
          <w:rFonts w:asciiTheme="majorBidi" w:hAnsiTheme="majorBidi" w:cstheme="majorBidi"/>
          <w:sz w:val="24"/>
          <w:szCs w:val="24"/>
          <w:lang w:val="en-US"/>
        </w:rPr>
        <w:t>)</w:t>
      </w:r>
      <w:r w:rsidR="00E9775B">
        <w:rPr>
          <w:rFonts w:asciiTheme="majorBidi" w:hAnsiTheme="majorBidi" w:cstheme="majorBidi"/>
          <w:sz w:val="24"/>
          <w:szCs w:val="24"/>
          <w:lang w:val="en-US"/>
        </w:rPr>
        <w:t>.</w:t>
      </w:r>
    </w:p>
    <w:p w:rsidR="00F52ADF" w:rsidRPr="00F52ADF" w:rsidRDefault="00F52ADF">
      <w:pPr>
        <w:rPr>
          <w:rFonts w:asciiTheme="majorBidi" w:hAnsiTheme="majorBidi" w:cstheme="majorBidi"/>
          <w:sz w:val="24"/>
          <w:szCs w:val="24"/>
          <w:lang w:val="en-US"/>
        </w:rPr>
      </w:pPr>
    </w:p>
    <w:p w:rsidR="00811A8F" w:rsidRDefault="00F52ADF">
      <w:pPr>
        <w:rPr>
          <w:rFonts w:asciiTheme="majorBidi" w:hAnsiTheme="majorBidi" w:cstheme="majorBidi"/>
          <w:b/>
          <w:bCs/>
          <w:sz w:val="24"/>
          <w:szCs w:val="24"/>
          <w:lang w:val="en-US"/>
        </w:rPr>
      </w:pPr>
      <w:r w:rsidRPr="00597352">
        <w:rPr>
          <w:rFonts w:asciiTheme="majorBidi" w:hAnsiTheme="majorBidi" w:cstheme="majorBidi"/>
          <w:b/>
          <w:bCs/>
          <w:sz w:val="24"/>
          <w:szCs w:val="24"/>
          <w:lang w:val="en-US"/>
        </w:rPr>
        <w:t>Keywords</w:t>
      </w:r>
    </w:p>
    <w:p w:rsidR="00F52ADF" w:rsidRPr="004468E8" w:rsidRDefault="00F52ADF">
      <w:pPr>
        <w:rPr>
          <w:rFonts w:asciiTheme="majorBidi" w:hAnsiTheme="majorBidi" w:cstheme="majorBidi"/>
          <w:sz w:val="24"/>
          <w:szCs w:val="24"/>
          <w:lang w:val="en-US"/>
        </w:rPr>
      </w:pPr>
      <w:r>
        <w:rPr>
          <w:rFonts w:asciiTheme="majorBidi" w:hAnsiTheme="majorBidi" w:cstheme="majorBidi"/>
          <w:sz w:val="24"/>
          <w:szCs w:val="24"/>
          <w:lang w:val="en-US"/>
        </w:rPr>
        <w:t xml:space="preserve">Diel Alder, reaction mechanism, </w:t>
      </w:r>
      <w:r w:rsidR="004468E8" w:rsidRPr="004468E8">
        <w:rPr>
          <w:rFonts w:asciiTheme="majorBidi" w:eastAsia="Newton-Regular" w:hAnsiTheme="majorBidi" w:cstheme="majorBidi"/>
          <w:sz w:val="24"/>
          <w:szCs w:val="24"/>
          <w:lang w:val="en-US"/>
        </w:rPr>
        <w:t>regioselectivity, DFT calculations</w:t>
      </w:r>
      <w:r w:rsidR="004468E8">
        <w:rPr>
          <w:rFonts w:asciiTheme="majorBidi" w:eastAsia="Newton-Regular" w:hAnsiTheme="majorBidi" w:cstheme="majorBidi"/>
          <w:sz w:val="24"/>
          <w:szCs w:val="24"/>
          <w:lang w:val="en-US"/>
        </w:rPr>
        <w:t xml:space="preserve">, </w:t>
      </w:r>
      <w:r w:rsidR="004468E8" w:rsidRPr="00A97B59">
        <w:rPr>
          <w:rFonts w:asciiTheme="majorBidi" w:hAnsiTheme="majorBidi" w:cstheme="majorBidi"/>
          <w:sz w:val="24"/>
          <w:szCs w:val="24"/>
          <w:lang w:val="en-US"/>
        </w:rPr>
        <w:t>F</w:t>
      </w:r>
      <w:r w:rsidR="00B349F1">
        <w:rPr>
          <w:rFonts w:asciiTheme="majorBidi" w:hAnsiTheme="majorBidi" w:cstheme="majorBidi"/>
          <w:sz w:val="24"/>
          <w:szCs w:val="24"/>
          <w:lang w:val="en-US"/>
        </w:rPr>
        <w:t>u</w:t>
      </w:r>
      <w:r w:rsidR="004468E8" w:rsidRPr="00A97B59">
        <w:rPr>
          <w:rFonts w:asciiTheme="majorBidi" w:hAnsiTheme="majorBidi" w:cstheme="majorBidi"/>
          <w:sz w:val="24"/>
          <w:szCs w:val="24"/>
          <w:lang w:val="en-US"/>
        </w:rPr>
        <w:t>kui indices</w:t>
      </w:r>
      <w:r w:rsidR="00E9775B">
        <w:rPr>
          <w:rFonts w:asciiTheme="majorBidi" w:hAnsiTheme="majorBidi" w:cstheme="majorBidi"/>
          <w:sz w:val="24"/>
          <w:szCs w:val="24"/>
          <w:lang w:val="en-US"/>
        </w:rPr>
        <w:t>.</w:t>
      </w:r>
    </w:p>
    <w:p w:rsidR="00811A8F" w:rsidRPr="00F65983" w:rsidRDefault="00811A8F" w:rsidP="00811A8F">
      <w:pPr>
        <w:autoSpaceDE w:val="0"/>
        <w:autoSpaceDN w:val="0"/>
        <w:adjustRightInd w:val="0"/>
        <w:spacing w:after="120"/>
        <w:jc w:val="both"/>
        <w:rPr>
          <w:rFonts w:asciiTheme="majorBidi" w:hAnsiTheme="majorBidi" w:cstheme="majorBidi"/>
          <w:b/>
          <w:sz w:val="24"/>
          <w:szCs w:val="24"/>
          <w:lang w:val="en-US"/>
        </w:rPr>
      </w:pPr>
      <w:r w:rsidRPr="00F65983">
        <w:rPr>
          <w:rFonts w:asciiTheme="majorBidi" w:hAnsiTheme="majorBidi" w:cstheme="majorBidi"/>
          <w:b/>
          <w:sz w:val="24"/>
          <w:szCs w:val="24"/>
          <w:lang w:val="en-US"/>
        </w:rPr>
        <w:t>Reference</w:t>
      </w:r>
    </w:p>
    <w:p w:rsidR="00AE4984" w:rsidRDefault="00811A8F" w:rsidP="00AE4984">
      <w:pPr>
        <w:autoSpaceDE w:val="0"/>
        <w:autoSpaceDN w:val="0"/>
        <w:adjustRightInd w:val="0"/>
        <w:spacing w:after="0" w:line="240" w:lineRule="auto"/>
        <w:jc w:val="both"/>
        <w:rPr>
          <w:rFonts w:asciiTheme="majorBidi" w:hAnsiTheme="majorBidi" w:cstheme="majorBidi"/>
          <w:sz w:val="24"/>
          <w:szCs w:val="24"/>
          <w:lang w:val="en-US"/>
        </w:rPr>
      </w:pPr>
      <w:r w:rsidRPr="00F65983">
        <w:rPr>
          <w:rFonts w:asciiTheme="majorBidi" w:hAnsiTheme="majorBidi" w:cstheme="majorBidi"/>
          <w:sz w:val="24"/>
          <w:szCs w:val="24"/>
          <w:lang w:val="en-US"/>
        </w:rPr>
        <w:t>[1]</w:t>
      </w:r>
      <w:proofErr w:type="spellStart"/>
      <w:r w:rsidR="00AE4984" w:rsidRPr="00AE4984">
        <w:rPr>
          <w:rFonts w:asciiTheme="majorBidi" w:hAnsiTheme="majorBidi" w:cstheme="majorBidi"/>
          <w:sz w:val="24"/>
          <w:szCs w:val="24"/>
          <w:lang w:val="en-US"/>
        </w:rPr>
        <w:t>Krokidis</w:t>
      </w:r>
      <w:proofErr w:type="spellEnd"/>
      <w:r w:rsidR="00AE4984" w:rsidRPr="00AE4984">
        <w:rPr>
          <w:rFonts w:asciiTheme="majorBidi" w:hAnsiTheme="majorBidi" w:cstheme="majorBidi"/>
          <w:sz w:val="24"/>
          <w:szCs w:val="24"/>
          <w:lang w:val="en-US"/>
        </w:rPr>
        <w:t xml:space="preserve"> X, </w:t>
      </w:r>
      <w:proofErr w:type="spellStart"/>
      <w:r w:rsidR="00AE4984" w:rsidRPr="00AE4984">
        <w:rPr>
          <w:rFonts w:asciiTheme="majorBidi" w:hAnsiTheme="majorBidi" w:cstheme="majorBidi"/>
          <w:sz w:val="24"/>
          <w:szCs w:val="24"/>
          <w:lang w:val="en-US"/>
        </w:rPr>
        <w:t>Silvi</w:t>
      </w:r>
      <w:proofErr w:type="spellEnd"/>
      <w:r w:rsidR="00AE4984" w:rsidRPr="00AE4984">
        <w:rPr>
          <w:rFonts w:asciiTheme="majorBidi" w:hAnsiTheme="majorBidi" w:cstheme="majorBidi"/>
          <w:sz w:val="24"/>
          <w:szCs w:val="24"/>
          <w:lang w:val="en-US"/>
        </w:rPr>
        <w:t xml:space="preserve"> B, </w:t>
      </w:r>
      <w:proofErr w:type="spellStart"/>
      <w:r w:rsidR="00AE4984" w:rsidRPr="00AE4984">
        <w:rPr>
          <w:rFonts w:asciiTheme="majorBidi" w:hAnsiTheme="majorBidi" w:cstheme="majorBidi"/>
          <w:sz w:val="24"/>
          <w:szCs w:val="24"/>
          <w:lang w:val="en-US"/>
        </w:rPr>
        <w:t>Alikhani</w:t>
      </w:r>
      <w:proofErr w:type="spellEnd"/>
      <w:r w:rsidR="00AE4984" w:rsidRPr="00AE4984">
        <w:rPr>
          <w:rFonts w:asciiTheme="majorBidi" w:hAnsiTheme="majorBidi" w:cstheme="majorBidi"/>
          <w:sz w:val="24"/>
          <w:szCs w:val="24"/>
          <w:lang w:val="en-US"/>
        </w:rPr>
        <w:t xml:space="preserve"> ME (1998) Topological characterizationof the isomerization </w:t>
      </w:r>
    </w:p>
    <w:p w:rsidR="00F52ADF" w:rsidRPr="00AE4984" w:rsidRDefault="00AE4984" w:rsidP="00AE4984">
      <w:pPr>
        <w:autoSpaceDE w:val="0"/>
        <w:autoSpaceDN w:val="0"/>
        <w:adjustRightInd w:val="0"/>
        <w:spacing w:after="0" w:line="240" w:lineRule="auto"/>
        <w:jc w:val="both"/>
        <w:rPr>
          <w:rFonts w:asciiTheme="majorBidi" w:hAnsiTheme="majorBidi" w:cstheme="majorBidi"/>
          <w:sz w:val="24"/>
          <w:szCs w:val="24"/>
          <w:lang w:val="en-US"/>
        </w:rPr>
      </w:pPr>
      <w:r w:rsidRPr="00AE4984">
        <w:rPr>
          <w:rFonts w:asciiTheme="majorBidi" w:hAnsiTheme="majorBidi" w:cstheme="majorBidi"/>
          <w:sz w:val="24"/>
          <w:szCs w:val="24"/>
          <w:lang w:val="en-US"/>
        </w:rPr>
        <w:t xml:space="preserve">mechanisms in XNO (X=H, Cl). </w:t>
      </w:r>
      <w:proofErr w:type="spellStart"/>
      <w:r w:rsidRPr="00AE4984">
        <w:rPr>
          <w:rFonts w:asciiTheme="majorBidi" w:hAnsiTheme="majorBidi" w:cstheme="majorBidi"/>
          <w:sz w:val="24"/>
          <w:szCs w:val="24"/>
          <w:lang w:val="en-US"/>
        </w:rPr>
        <w:t>ChemPhys</w:t>
      </w:r>
      <w:proofErr w:type="spellEnd"/>
      <w:r w:rsidRPr="00AE4984">
        <w:rPr>
          <w:rFonts w:asciiTheme="majorBidi" w:hAnsiTheme="majorBidi" w:cstheme="majorBidi"/>
          <w:sz w:val="24"/>
          <w:szCs w:val="24"/>
          <w:lang w:val="en-US"/>
        </w:rPr>
        <w:t xml:space="preserve"> </w:t>
      </w:r>
      <w:proofErr w:type="spellStart"/>
      <w:r w:rsidRPr="00AE4984">
        <w:rPr>
          <w:rFonts w:asciiTheme="majorBidi" w:hAnsiTheme="majorBidi" w:cstheme="majorBidi"/>
          <w:sz w:val="24"/>
          <w:szCs w:val="24"/>
          <w:lang w:val="en-US"/>
        </w:rPr>
        <w:t>Lett</w:t>
      </w:r>
      <w:proofErr w:type="spellEnd"/>
      <w:r w:rsidRPr="00AE4984">
        <w:rPr>
          <w:rFonts w:asciiTheme="majorBidi" w:hAnsiTheme="majorBidi" w:cstheme="majorBidi"/>
          <w:sz w:val="24"/>
          <w:szCs w:val="24"/>
          <w:lang w:val="en-US"/>
        </w:rPr>
        <w:t xml:space="preserve"> 292:35–45</w:t>
      </w:r>
      <w:r>
        <w:rPr>
          <w:rFonts w:asciiTheme="majorBidi" w:hAnsiTheme="majorBidi" w:cstheme="majorBidi"/>
          <w:sz w:val="24"/>
          <w:szCs w:val="24"/>
          <w:lang w:val="en-US"/>
        </w:rPr>
        <w:t>.</w:t>
      </w:r>
    </w:p>
    <w:p w:rsidR="00F52ADF" w:rsidRDefault="00F52ADF">
      <w:pPr>
        <w:rPr>
          <w:lang w:val="en-US"/>
        </w:rPr>
      </w:pPr>
      <w:bookmarkStart w:id="0" w:name="_GoBack"/>
      <w:bookmarkEnd w:id="0"/>
    </w:p>
    <w:sectPr w:rsidR="00F52ADF" w:rsidSect="00A97B59">
      <w:pgSz w:w="11906" w:h="16838"/>
      <w:pgMar w:top="1418"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ton-Regula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A97B59"/>
    <w:rsid w:val="0019543E"/>
    <w:rsid w:val="004468E8"/>
    <w:rsid w:val="004F36ED"/>
    <w:rsid w:val="004F531C"/>
    <w:rsid w:val="00597352"/>
    <w:rsid w:val="00777CC0"/>
    <w:rsid w:val="00811A8F"/>
    <w:rsid w:val="008A6181"/>
    <w:rsid w:val="009666E8"/>
    <w:rsid w:val="00A651F6"/>
    <w:rsid w:val="00A97B59"/>
    <w:rsid w:val="00AE4984"/>
    <w:rsid w:val="00B02601"/>
    <w:rsid w:val="00B349F1"/>
    <w:rsid w:val="00C77AD2"/>
    <w:rsid w:val="00D53D1A"/>
    <w:rsid w:val="00DB1FE1"/>
    <w:rsid w:val="00E9775B"/>
    <w:rsid w:val="00F52AD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CC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97352"/>
    <w:rPr>
      <w:color w:val="0000FF" w:themeColor="hyperlink"/>
      <w:u w:val="single"/>
    </w:rPr>
  </w:style>
  <w:style w:type="character" w:customStyle="1" w:styleId="UnresolvedMention">
    <w:name w:val="Unresolved Mention"/>
    <w:basedOn w:val="Policepardfaut"/>
    <w:uiPriority w:val="99"/>
    <w:semiHidden/>
    <w:unhideWhenUsed/>
    <w:rsid w:val="00597352"/>
    <w:rPr>
      <w:color w:val="605E5C"/>
      <w:shd w:val="clear" w:color="auto" w:fill="E1DFDD"/>
    </w:rPr>
  </w:style>
  <w:style w:type="paragraph" w:styleId="Textedebulles">
    <w:name w:val="Balloon Text"/>
    <w:basedOn w:val="Normal"/>
    <w:link w:val="TextedebullesCar"/>
    <w:uiPriority w:val="99"/>
    <w:semiHidden/>
    <w:unhideWhenUsed/>
    <w:rsid w:val="00C77AD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77A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389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tarikboutadghart5@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1579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info</cp:lastModifiedBy>
  <cp:revision>2</cp:revision>
  <dcterms:created xsi:type="dcterms:W3CDTF">2022-08-22T14:23:00Z</dcterms:created>
  <dcterms:modified xsi:type="dcterms:W3CDTF">2022-08-22T14:23:00Z</dcterms:modified>
</cp:coreProperties>
</file>