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spacing w:line="232" w:lineRule="auto"/>
      </w:pPr>
      <w:bookmarkStart w:name="Feasibility of a Symptoms Management Int" w:id="1"/>
      <w:bookmarkEnd w:id="1"/>
      <w:r>
        <w:rPr>
          <w:b w:val="0"/>
        </w:rPr>
      </w:r>
      <w:r>
        <w:rPr/>
        <w:t>Feasibility</w:t>
      </w:r>
      <w:r>
        <w:rPr>
          <w:spacing w:val="-28"/>
        </w:rPr>
        <w:t> </w:t>
      </w:r>
      <w:r>
        <w:rPr/>
        <w:t>of</w:t>
      </w:r>
      <w:r>
        <w:rPr>
          <w:spacing w:val="-26"/>
        </w:rPr>
        <w:t> </w:t>
      </w:r>
      <w:r>
        <w:rPr/>
        <w:t>a</w:t>
      </w:r>
      <w:r>
        <w:rPr>
          <w:spacing w:val="-27"/>
        </w:rPr>
        <w:t> </w:t>
      </w:r>
      <w:r>
        <w:rPr>
          <w:spacing w:val="-4"/>
        </w:rPr>
        <w:t>Symptoms</w:t>
      </w:r>
      <w:r>
        <w:rPr>
          <w:spacing w:val="-25"/>
        </w:rPr>
        <w:t> </w:t>
      </w:r>
      <w:r>
        <w:rPr>
          <w:spacing w:val="-4"/>
        </w:rPr>
        <w:t>Management</w:t>
      </w:r>
      <w:r>
        <w:rPr>
          <w:spacing w:val="-25"/>
        </w:rPr>
        <w:t> </w:t>
      </w:r>
      <w:r>
        <w:rPr>
          <w:spacing w:val="-3"/>
        </w:rPr>
        <w:t>Intervention</w:t>
      </w:r>
      <w:r>
        <w:rPr>
          <w:spacing w:val="-27"/>
        </w:rPr>
        <w:t> </w:t>
      </w:r>
      <w:r>
        <w:rPr>
          <w:spacing w:val="-3"/>
        </w:rPr>
        <w:t>for</w:t>
      </w:r>
      <w:r>
        <w:rPr>
          <w:spacing w:val="-24"/>
        </w:rPr>
        <w:t> </w:t>
      </w:r>
      <w:r>
        <w:rPr>
          <w:spacing w:val="-4"/>
        </w:rPr>
        <w:t>Honduran </w:t>
      </w:r>
      <w:r>
        <w:rPr>
          <w:spacing w:val="-3"/>
        </w:rPr>
        <w:t>Adults </w:t>
      </w:r>
      <w:r>
        <w:rPr>
          <w:spacing w:val="-4"/>
        </w:rPr>
        <w:t>undergoing</w:t>
      </w:r>
      <w:r>
        <w:rPr>
          <w:spacing w:val="-27"/>
        </w:rPr>
        <w:t> </w:t>
      </w:r>
      <w:r>
        <w:rPr>
          <w:spacing w:val="-4"/>
        </w:rPr>
        <w:t>Chemotherapy</w:t>
      </w:r>
    </w:p>
    <w:p>
      <w:pPr>
        <w:spacing w:line="350" w:lineRule="auto" w:before="84"/>
        <w:ind w:left="220" w:right="5502" w:firstLine="0"/>
        <w:jc w:val="left"/>
        <w:rPr>
          <w:sz w:val="16"/>
        </w:rPr>
      </w:pPr>
      <w:r>
        <w:rPr>
          <w:sz w:val="16"/>
        </w:rPr>
        <w:t>Rennie Michelle Medina HN Universidad Catolica de Honduras Kathleen Doyle Lyons USA Dartmouth Hitchcock Medical C.</w:t>
      </w:r>
    </w:p>
    <w:p>
      <w:pPr>
        <w:pStyle w:val="BodyText"/>
        <w:rPr>
          <w:sz w:val="20"/>
        </w:rPr>
      </w:pPr>
    </w:p>
    <w:p>
      <w:pPr>
        <w:pStyle w:val="BodyText"/>
        <w:rPr>
          <w:sz w:val="20"/>
        </w:rPr>
      </w:pPr>
    </w:p>
    <w:p>
      <w:pPr>
        <w:pStyle w:val="BodyText"/>
        <w:spacing w:before="5"/>
        <w:rPr>
          <w:sz w:val="19"/>
        </w:rPr>
      </w:pPr>
    </w:p>
    <w:p>
      <w:pPr>
        <w:spacing w:after="0"/>
        <w:rPr>
          <w:sz w:val="19"/>
        </w:rPr>
        <w:sectPr>
          <w:type w:val="continuous"/>
          <w:pgSz w:w="11910" w:h="16840"/>
          <w:pgMar w:top="1440" w:bottom="280" w:left="500" w:right="620"/>
        </w:sectPr>
      </w:pPr>
    </w:p>
    <w:p>
      <w:pPr>
        <w:pStyle w:val="Heading1"/>
        <w:spacing w:before="96"/>
        <w:ind w:left="220"/>
      </w:pPr>
      <w:bookmarkStart w:name="Abstract" w:id="2"/>
      <w:bookmarkEnd w:id="2"/>
      <w:r>
        <w:rPr>
          <w:b w:val="0"/>
        </w:rPr>
      </w:r>
      <w:r>
        <w:rPr>
          <w:color w:val="BE5A13"/>
        </w:rPr>
        <w:t>Abstract</w:t>
      </w:r>
    </w:p>
    <w:p>
      <w:pPr>
        <w:spacing w:line="240" w:lineRule="auto" w:before="77"/>
        <w:ind w:left="119" w:right="0" w:firstLine="0"/>
        <w:jc w:val="both"/>
        <w:rPr>
          <w:sz w:val="20"/>
        </w:rPr>
      </w:pPr>
      <w:bookmarkStart w:name="Evidence-based interventions often need " w:id="3"/>
      <w:bookmarkEnd w:id="3"/>
      <w:r>
        <w:rPr/>
      </w:r>
      <w:r>
        <w:rPr>
          <w:sz w:val="20"/>
        </w:rPr>
        <w:t>Evidence-based interventions often need to be adapted to maximize their implementation potential in low-to middle- income countries. A single-arm feasibility study was conducted to determine the feasibility and acceptability of</w:t>
      </w:r>
      <w:r>
        <w:rPr>
          <w:spacing w:val="-36"/>
          <w:sz w:val="20"/>
        </w:rPr>
        <w:t> </w:t>
      </w:r>
      <w:r>
        <w:rPr>
          <w:sz w:val="20"/>
        </w:rPr>
        <w:t>a telephone-delivered, nurse-led, symptom management intervention for adults undergoing chemotherapy in Honduras. Over the course of 6 months, nurses engaged 25 patients undergoing chemotherapy in the intervention. Each participant received an average </w:t>
      </w:r>
      <w:r>
        <w:rPr>
          <w:spacing w:val="-4"/>
          <w:sz w:val="20"/>
        </w:rPr>
        <w:t>of </w:t>
      </w:r>
      <w:r>
        <w:rPr>
          <w:sz w:val="20"/>
        </w:rPr>
        <w:t>16.2 attempts to contact them for telephone sessions (SD = 8.0, range = 2- 28). Collectively, the participants discussed 24 types of sypmtoms. The most commonly discussed symptoms </w:t>
      </w:r>
      <w:r>
        <w:rPr>
          <w:spacing w:val="-3"/>
          <w:sz w:val="20"/>
        </w:rPr>
        <w:t>were </w:t>
      </w:r>
      <w:r>
        <w:rPr>
          <w:sz w:val="20"/>
        </w:rPr>
        <w:t>pain (12%), </w:t>
      </w:r>
      <w:r>
        <w:rPr>
          <w:spacing w:val="-3"/>
          <w:sz w:val="20"/>
        </w:rPr>
        <w:t>nausea </w:t>
      </w:r>
      <w:r>
        <w:rPr>
          <w:sz w:val="20"/>
        </w:rPr>
        <w:t>(7%), and constipation (5%). Qualitative and quantitative data </w:t>
      </w:r>
      <w:r>
        <w:rPr>
          <w:spacing w:val="-3"/>
          <w:sz w:val="20"/>
        </w:rPr>
        <w:t>were used </w:t>
      </w:r>
      <w:r>
        <w:rPr>
          <w:sz w:val="20"/>
        </w:rPr>
        <w:t>to identify treatment manual modifications (i.e., adding content </w:t>
      </w:r>
      <w:r>
        <w:rPr>
          <w:spacing w:val="-3"/>
          <w:sz w:val="20"/>
        </w:rPr>
        <w:t>about </w:t>
      </w:r>
      <w:r>
        <w:rPr>
          <w:sz w:val="20"/>
        </w:rPr>
        <w:t>symptoms and addressing scheduling </w:t>
      </w:r>
      <w:r>
        <w:rPr>
          <w:spacing w:val="-4"/>
          <w:sz w:val="20"/>
        </w:rPr>
        <w:t>of </w:t>
      </w:r>
      <w:r>
        <w:rPr>
          <w:sz w:val="20"/>
        </w:rPr>
        <w:t>treatment) and workplace modifications (i.e., dedicated nurse time and space) that are needed to optimize implementation </w:t>
      </w:r>
      <w:r>
        <w:rPr>
          <w:spacing w:val="-4"/>
          <w:sz w:val="20"/>
        </w:rPr>
        <w:t>of </w:t>
      </w:r>
      <w:r>
        <w:rPr>
          <w:sz w:val="20"/>
        </w:rPr>
        <w:t>the intervention.</w:t>
      </w:r>
    </w:p>
    <w:p>
      <w:pPr>
        <w:spacing w:before="76"/>
        <w:ind w:left="220" w:right="0" w:firstLine="0"/>
        <w:jc w:val="left"/>
        <w:rPr>
          <w:sz w:val="20"/>
        </w:rPr>
      </w:pPr>
      <w:bookmarkStart w:name="." w:id="4"/>
      <w:bookmarkEnd w:id="4"/>
      <w:r>
        <w:rPr/>
      </w:r>
      <w:r>
        <w:rPr>
          <w:w w:val="100"/>
          <w:sz w:val="20"/>
        </w:rPr>
        <w:t>.</w:t>
      </w:r>
    </w:p>
    <w:p>
      <w:pPr>
        <w:pStyle w:val="BodyText"/>
        <w:spacing w:before="7"/>
        <w:rPr>
          <w:sz w:val="21"/>
        </w:rPr>
      </w:pPr>
      <w:r>
        <w:rPr/>
        <w:br w:type="column"/>
      </w:r>
      <w:r>
        <w:rPr>
          <w:sz w:val="21"/>
        </w:rPr>
      </w:r>
    </w:p>
    <w:p>
      <w:pPr>
        <w:spacing w:before="1"/>
        <w:ind w:left="190" w:right="0" w:firstLine="0"/>
        <w:jc w:val="left"/>
        <w:rPr>
          <w:b/>
          <w:sz w:val="20"/>
        </w:rPr>
      </w:pPr>
      <w:bookmarkStart w:name="Image" w:id="5"/>
      <w:bookmarkEnd w:id="5"/>
      <w:r>
        <w:rPr/>
      </w:r>
      <w:r>
        <w:rPr>
          <w:b/>
          <w:color w:val="BE5A13"/>
          <w:sz w:val="20"/>
        </w:rPr>
        <w:t>Image</w:t>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2"/>
        <w:rPr>
          <w:b/>
          <w:sz w:val="22"/>
        </w:rPr>
      </w:pPr>
    </w:p>
    <w:p>
      <w:pPr>
        <w:spacing w:before="0"/>
        <w:ind w:left="89" w:right="0" w:firstLine="0"/>
        <w:jc w:val="left"/>
        <w:rPr>
          <w:b/>
          <w:sz w:val="20"/>
        </w:rPr>
      </w:pPr>
      <w:r>
        <w:rPr/>
        <w:drawing>
          <wp:anchor distT="0" distB="0" distL="0" distR="0" allowOverlap="1" layoutInCell="1" locked="0" behindDoc="0" simplePos="0" relativeHeight="15729664">
            <wp:simplePos x="0" y="0"/>
            <wp:positionH relativeFrom="page">
              <wp:posOffset>4492156</wp:posOffset>
            </wp:positionH>
            <wp:positionV relativeFrom="paragraph">
              <wp:posOffset>-2906837</wp:posOffset>
            </wp:positionV>
            <wp:extent cx="2456213" cy="2597770"/>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2456213" cy="2597770"/>
                    </a:xfrm>
                    <a:prstGeom prst="rect">
                      <a:avLst/>
                    </a:prstGeom>
                  </pic:spPr>
                </pic:pic>
              </a:graphicData>
            </a:graphic>
          </wp:anchor>
        </w:drawing>
      </w:r>
      <w:r>
        <w:rPr>
          <w:b/>
          <w:color w:val="BE5A13"/>
          <w:sz w:val="20"/>
        </w:rPr>
        <w:t>Recent Publications</w:t>
      </w:r>
    </w:p>
    <w:p>
      <w:pPr>
        <w:pStyle w:val="ListParagraph"/>
        <w:numPr>
          <w:ilvl w:val="0"/>
          <w:numId w:val="1"/>
        </w:numPr>
        <w:tabs>
          <w:tab w:pos="835" w:val="left" w:leader="none"/>
        </w:tabs>
        <w:spacing w:line="237" w:lineRule="auto" w:before="100" w:after="0"/>
        <w:ind w:left="834" w:right="112" w:hanging="361"/>
        <w:jc w:val="both"/>
        <w:rPr>
          <w:sz w:val="18"/>
        </w:rPr>
      </w:pPr>
      <w:r>
        <w:rPr>
          <w:sz w:val="18"/>
        </w:rPr>
        <w:t>Medina RM, Guerra N, Molina M, Murillo E. Actitud de la mujer ante la prevencion del cancer, en municipios de los departamentos de Cortes y Yoro, Honduras. Revista </w:t>
      </w:r>
      <w:r>
        <w:rPr>
          <w:spacing w:val="-2"/>
          <w:sz w:val="18"/>
        </w:rPr>
        <w:t>Medica </w:t>
      </w:r>
      <w:r>
        <w:rPr>
          <w:sz w:val="18"/>
        </w:rPr>
        <w:t>UNICAH.</w:t>
      </w:r>
      <w:r>
        <w:rPr>
          <w:spacing w:val="3"/>
          <w:sz w:val="18"/>
        </w:rPr>
        <w:t> </w:t>
      </w:r>
      <w:r>
        <w:rPr>
          <w:sz w:val="18"/>
        </w:rPr>
        <w:t>2015;5(2305-6769):53–61.</w:t>
      </w:r>
    </w:p>
    <w:p>
      <w:pPr>
        <w:pStyle w:val="ListParagraph"/>
        <w:numPr>
          <w:ilvl w:val="0"/>
          <w:numId w:val="1"/>
        </w:numPr>
        <w:tabs>
          <w:tab w:pos="835" w:val="left" w:leader="none"/>
        </w:tabs>
        <w:spacing w:line="235" w:lineRule="auto" w:before="101" w:after="0"/>
        <w:ind w:left="834" w:right="109" w:hanging="361"/>
        <w:jc w:val="both"/>
        <w:rPr>
          <w:sz w:val="18"/>
        </w:rPr>
      </w:pPr>
      <w:r>
        <w:rPr>
          <w:sz w:val="18"/>
        </w:rPr>
        <w:t>Medina RM. Reporte de Caso: Os Trigonum. Revista </w:t>
      </w:r>
      <w:r>
        <w:rPr>
          <w:spacing w:val="-2"/>
          <w:sz w:val="18"/>
        </w:rPr>
        <w:t>Medica </w:t>
      </w:r>
      <w:r>
        <w:rPr>
          <w:sz w:val="18"/>
        </w:rPr>
        <w:t>UNICAH.</w:t>
      </w:r>
      <w:r>
        <w:rPr>
          <w:spacing w:val="3"/>
          <w:sz w:val="18"/>
        </w:rPr>
        <w:t> </w:t>
      </w:r>
      <w:r>
        <w:rPr>
          <w:sz w:val="18"/>
        </w:rPr>
        <w:t>2017;7(2501-3133):20–25.</w:t>
      </w:r>
    </w:p>
    <w:p>
      <w:pPr>
        <w:pStyle w:val="ListParagraph"/>
        <w:numPr>
          <w:ilvl w:val="0"/>
          <w:numId w:val="1"/>
        </w:numPr>
        <w:tabs>
          <w:tab w:pos="835" w:val="left" w:leader="none"/>
        </w:tabs>
        <w:spacing w:line="237" w:lineRule="auto" w:before="101" w:after="0"/>
        <w:ind w:left="834" w:right="112" w:hanging="361"/>
        <w:jc w:val="both"/>
        <w:rPr>
          <w:sz w:val="18"/>
        </w:rPr>
      </w:pPr>
      <w:r>
        <w:rPr>
          <w:sz w:val="18"/>
        </w:rPr>
        <w:t>Medina RM. </w:t>
      </w:r>
      <w:r>
        <w:rPr>
          <w:spacing w:val="-3"/>
          <w:sz w:val="18"/>
        </w:rPr>
        <w:t>1. </w:t>
      </w:r>
      <w:r>
        <w:rPr>
          <w:sz w:val="18"/>
        </w:rPr>
        <w:t>Adopcion de inspeccion visual con acido acetico en cribado para cancer cervical </w:t>
      </w:r>
      <w:r>
        <w:rPr>
          <w:spacing w:val="-3"/>
          <w:sz w:val="18"/>
        </w:rPr>
        <w:t>en </w:t>
      </w:r>
      <w:r>
        <w:rPr>
          <w:sz w:val="18"/>
        </w:rPr>
        <w:t>CESAMO La Brea. Revista Medica </w:t>
      </w:r>
      <w:r>
        <w:rPr>
          <w:spacing w:val="-3"/>
          <w:sz w:val="18"/>
        </w:rPr>
        <w:t>UNICAH.</w:t>
      </w:r>
      <w:r>
        <w:rPr>
          <w:spacing w:val="-4"/>
          <w:sz w:val="18"/>
        </w:rPr>
        <w:t> </w:t>
      </w:r>
      <w:r>
        <w:rPr>
          <w:sz w:val="18"/>
        </w:rPr>
        <w:t>2018;8(2603-2129):35–41.</w:t>
      </w:r>
    </w:p>
    <w:p>
      <w:pPr>
        <w:pStyle w:val="ListParagraph"/>
        <w:numPr>
          <w:ilvl w:val="0"/>
          <w:numId w:val="1"/>
        </w:numPr>
        <w:tabs>
          <w:tab w:pos="835" w:val="left" w:leader="none"/>
        </w:tabs>
        <w:spacing w:line="235" w:lineRule="auto" w:before="103" w:after="0"/>
        <w:ind w:left="834" w:right="109" w:hanging="361"/>
        <w:jc w:val="both"/>
        <w:rPr>
          <w:sz w:val="18"/>
        </w:rPr>
      </w:pPr>
      <w:r>
        <w:rPr>
          <w:sz w:val="18"/>
        </w:rPr>
        <w:t>Medina RM, Bejarano S, Lyons K, Moya JC. Feasibility </w:t>
      </w:r>
      <w:r>
        <w:rPr>
          <w:spacing w:val="-3"/>
          <w:sz w:val="18"/>
        </w:rPr>
        <w:t>of </w:t>
      </w:r>
      <w:r>
        <w:rPr>
          <w:sz w:val="18"/>
        </w:rPr>
        <w:t>a Symptoms </w:t>
      </w:r>
      <w:r>
        <w:rPr>
          <w:spacing w:val="-3"/>
          <w:sz w:val="18"/>
        </w:rPr>
        <w:t>Management </w:t>
      </w:r>
      <w:r>
        <w:rPr>
          <w:sz w:val="18"/>
        </w:rPr>
        <w:t>Intervention for Honduran Adults undergoing Chemotherapy . SAGE Journals. 2019;10(1517- 1539).</w:t>
      </w:r>
    </w:p>
    <w:p>
      <w:pPr>
        <w:spacing w:after="0" w:line="235" w:lineRule="auto"/>
        <w:jc w:val="both"/>
        <w:rPr>
          <w:sz w:val="18"/>
        </w:rPr>
        <w:sectPr>
          <w:type w:val="continuous"/>
          <w:pgSz w:w="11910" w:h="16840"/>
          <w:pgMar w:top="1440" w:bottom="280" w:left="500" w:right="620"/>
          <w:cols w:num="2" w:equalWidth="0">
            <w:col w:w="5344" w:space="40"/>
            <w:col w:w="5406"/>
          </w:cols>
        </w:sectPr>
      </w:pPr>
    </w:p>
    <w:p>
      <w:pPr>
        <w:pStyle w:val="BodyText"/>
        <w:rPr>
          <w:rFonts w:ascii="Carlito"/>
          <w:sz w:val="20"/>
        </w:rPr>
      </w:pPr>
    </w:p>
    <w:p>
      <w:pPr>
        <w:pStyle w:val="BodyText"/>
        <w:spacing w:before="11" w:after="1"/>
        <w:rPr>
          <w:rFonts w:ascii="Carlito"/>
          <w:sz w:val="14"/>
        </w:rPr>
      </w:pPr>
    </w:p>
    <w:p>
      <w:pPr>
        <w:pStyle w:val="BodyText"/>
        <w:spacing w:line="40" w:lineRule="exact"/>
        <w:ind w:left="2324"/>
        <w:rPr>
          <w:rFonts w:ascii="Carlito"/>
          <w:sz w:val="4"/>
        </w:rPr>
      </w:pPr>
      <w:r>
        <w:rPr>
          <w:rFonts w:ascii="Carlito"/>
          <w:position w:val="0"/>
          <w:sz w:val="4"/>
        </w:rPr>
        <w:pict>
          <v:group style="width:311.05pt;height:2pt;mso-position-horizontal-relative:char;mso-position-vertical-relative:line" coordorigin="0,0" coordsize="6221,40">
            <v:line style="position:absolute" from="0,20" to="6221,20" stroked="true" strokeweight="2pt" strokecolor="#004080">
              <v:stroke dashstyle="solid"/>
            </v:line>
          </v:group>
        </w:pict>
      </w:r>
      <w:r>
        <w:rPr>
          <w:rFonts w:ascii="Carlito"/>
          <w:position w:val="0"/>
          <w:sz w:val="4"/>
        </w:rPr>
      </w:r>
    </w:p>
    <w:p>
      <w:pPr>
        <w:spacing w:before="107"/>
        <w:ind w:left="2866" w:right="0" w:firstLine="0"/>
        <w:jc w:val="left"/>
        <w:rPr>
          <w:sz w:val="22"/>
        </w:rPr>
      </w:pPr>
      <w:r>
        <w:rPr/>
        <w:drawing>
          <wp:anchor distT="0" distB="0" distL="0" distR="0" allowOverlap="1" layoutInCell="1" locked="0" behindDoc="0" simplePos="0" relativeHeight="15730176">
            <wp:simplePos x="0" y="0"/>
            <wp:positionH relativeFrom="page">
              <wp:posOffset>393700</wp:posOffset>
            </wp:positionH>
            <wp:positionV relativeFrom="paragraph">
              <wp:posOffset>-172620</wp:posOffset>
            </wp:positionV>
            <wp:extent cx="1082573" cy="1195070"/>
            <wp:effectExtent l="0" t="0" r="0" b="0"/>
            <wp:wrapNone/>
            <wp:docPr id="3" name="image2.jpeg" descr="C:\Users\AAAAA\Downloads\WhatsApp Image 2022-08-07 at 6.05.56 PM.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1082573" cy="1195070"/>
                    </a:xfrm>
                    <a:prstGeom prst="rect">
                      <a:avLst/>
                    </a:prstGeom>
                  </pic:spPr>
                </pic:pic>
              </a:graphicData>
            </a:graphic>
          </wp:anchor>
        </w:drawing>
      </w:r>
      <w:r>
        <w:rPr>
          <w:color w:val="BE5A13"/>
          <w:sz w:val="22"/>
        </w:rPr>
        <w:t>Biography</w:t>
      </w:r>
    </w:p>
    <w:p>
      <w:pPr>
        <w:pStyle w:val="BodyText"/>
        <w:spacing w:line="276" w:lineRule="auto" w:before="39"/>
        <w:ind w:left="2011" w:right="201"/>
        <w:jc w:val="both"/>
      </w:pPr>
      <w:r>
        <w:rPr/>
        <w:t>Rennie Medina is originally from San Pedro Sula, Honduras where she attended Universidad Catolica de Honduras for her undergraduate degree in Medicine. While attending college she trained and volunteered in PESCA, group of medical staff dedicated on promoting cervical cancer screening with cytology for free in Honduras. In 2018 she had the opportunity to meet Sylvia Bahr, who implemented workshops on respectful maternity care and human rights childbirth with nurses in Honduras. In her spare time she enjoys traveling, learning new languages, and spending time outdoors, and is also involved in medical missions donating her</w:t>
      </w:r>
    </w:p>
    <w:p>
      <w:pPr>
        <w:pStyle w:val="BodyText"/>
        <w:spacing w:before="3"/>
        <w:ind w:left="330"/>
        <w:jc w:val="both"/>
      </w:pPr>
      <w:r>
        <w:rPr/>
        <w:t>time in clinics or hospitals.</w:t>
      </w:r>
    </w:p>
    <w:p>
      <w:pPr>
        <w:spacing w:before="94"/>
        <w:ind w:left="4109" w:right="4390" w:firstLine="0"/>
        <w:jc w:val="center"/>
        <w:rPr>
          <w:sz w:val="14"/>
        </w:rPr>
      </w:pPr>
      <w:r>
        <w:rPr>
          <w:sz w:val="14"/>
        </w:rPr>
        <w:t>Email: </w:t>
      </w:r>
      <w:hyperlink r:id="rId7">
        <w:r>
          <w:rPr>
            <w:color w:val="0000FF"/>
            <w:sz w:val="14"/>
            <w:u w:val="single" w:color="0000FF"/>
          </w:rPr>
          <w:t>mdrenniemedina@gmail.com</w:t>
        </w:r>
      </w:hyperlink>
    </w:p>
    <w:p>
      <w:pPr>
        <w:pStyle w:val="BodyText"/>
        <w:spacing w:before="10"/>
      </w:pPr>
      <w:r>
        <w:rPr/>
        <w:pict>
          <v:shape style="position:absolute;margin-left:162.100006pt;margin-top:13.053701pt;width:271.05pt;height:.1pt;mso-position-horizontal-relative:page;mso-position-vertical-relative:paragraph;z-index:-15728128;mso-wrap-distance-left:0;mso-wrap-distance-right:0" coordorigin="3242,261" coordsize="5421,0" path="m3242,261l8663,261e" filled="false" stroked="true" strokeweight=".5pt" strokecolor="#004080">
            <v:path arrowok="t"/>
            <v:stroke dashstyle="solid"/>
            <w10:wrap type="topAndBottom"/>
          </v:shape>
        </w:pict>
      </w:r>
    </w:p>
    <w:p>
      <w:pPr>
        <w:pStyle w:val="BodyText"/>
        <w:spacing w:before="8"/>
        <w:rPr>
          <w:sz w:val="13"/>
        </w:rPr>
      </w:pPr>
    </w:p>
    <w:p>
      <w:pPr>
        <w:pStyle w:val="Heading1"/>
        <w:spacing w:line="225" w:lineRule="exact" w:before="85"/>
        <w:ind w:left="119"/>
      </w:pPr>
      <w:r>
        <w:rPr>
          <w:w w:val="95"/>
        </w:rPr>
        <w:t>Presenting author details</w:t>
      </w:r>
    </w:p>
    <w:p>
      <w:pPr>
        <w:spacing w:line="225" w:lineRule="auto" w:before="6"/>
        <w:ind w:left="119" w:right="7099" w:firstLine="0"/>
        <w:jc w:val="left"/>
        <w:rPr>
          <w:sz w:val="20"/>
        </w:rPr>
      </w:pPr>
      <w:r>
        <w:rPr>
          <w:w w:val="90"/>
          <w:sz w:val="20"/>
        </w:rPr>
        <w:t>Full name: Rennie Michelle Medina Martinez </w:t>
      </w:r>
      <w:r>
        <w:rPr>
          <w:sz w:val="20"/>
        </w:rPr>
        <w:t>Contact number: 50488653108</w:t>
      </w:r>
    </w:p>
    <w:p>
      <w:pPr>
        <w:spacing w:line="230" w:lineRule="auto" w:before="0"/>
        <w:ind w:left="119" w:right="4676" w:firstLine="0"/>
        <w:jc w:val="left"/>
        <w:rPr>
          <w:sz w:val="20"/>
        </w:rPr>
      </w:pPr>
      <w:r>
        <w:rPr>
          <w:w w:val="90"/>
          <w:sz w:val="20"/>
        </w:rPr>
        <w:t>Linked In account: </w:t>
      </w:r>
      <w:hyperlink r:id="rId8">
        <w:r>
          <w:rPr>
            <w:w w:val="90"/>
            <w:sz w:val="20"/>
          </w:rPr>
          <w:t>www.linkedin.com/in/rennie-medina-b24913121</w:t>
        </w:r>
      </w:hyperlink>
      <w:r>
        <w:rPr>
          <w:w w:val="90"/>
          <w:sz w:val="20"/>
        </w:rPr>
        <w:t> </w:t>
      </w:r>
      <w:r>
        <w:rPr>
          <w:sz w:val="20"/>
        </w:rPr>
        <w:t>Session name/ number:</w:t>
      </w:r>
    </w:p>
    <w:p>
      <w:pPr>
        <w:spacing w:line="218" w:lineRule="exact" w:before="0"/>
        <w:ind w:left="119" w:right="0" w:firstLine="0"/>
        <w:jc w:val="left"/>
        <w:rPr>
          <w:sz w:val="20"/>
        </w:rPr>
      </w:pPr>
      <w:r>
        <w:rPr>
          <w:sz w:val="20"/>
        </w:rPr>
        <w:t>Category: Oral presentation</w:t>
      </w:r>
    </w:p>
    <w:p>
      <w:pPr>
        <w:spacing w:after="0" w:line="218" w:lineRule="exact"/>
        <w:jc w:val="left"/>
        <w:rPr>
          <w:sz w:val="20"/>
        </w:rPr>
        <w:sectPr>
          <w:type w:val="continuous"/>
          <w:pgSz w:w="11910" w:h="16840"/>
          <w:pgMar w:top="1440" w:bottom="280" w:left="500" w:right="620"/>
        </w:sectPr>
      </w:pPr>
    </w:p>
    <w:p>
      <w:pPr>
        <w:pStyle w:val="BodyText"/>
        <w:spacing w:before="4"/>
        <w:rPr>
          <w:sz w:val="17"/>
        </w:rPr>
      </w:pPr>
    </w:p>
    <w:sectPr>
      <w:pgSz w:w="12240" w:h="15840"/>
      <w:pgMar w:top="1500" w:bottom="280" w:left="172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Impact">
    <w:altName w:val="Impact"/>
    <w:charset w:val="0"/>
    <w:family w:val="swiss"/>
    <w:pitch w:val="variable"/>
  </w:font>
  <w:font w:name="Caladea">
    <w:altName w:val="Caladea"/>
    <w:charset w:val="0"/>
    <w:family w:val="roman"/>
    <w:pitch w:val="variable"/>
  </w:font>
  <w:font w:name="Carlito">
    <w:altName w:val="Carlito"/>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34" w:hanging="361"/>
        <w:jc w:val="left"/>
      </w:pPr>
      <w:rPr>
        <w:rFonts w:hint="default" w:ascii="Carlito" w:hAnsi="Carlito" w:eastAsia="Carlito" w:cs="Carlito"/>
        <w:spacing w:val="-2"/>
        <w:w w:val="101"/>
        <w:sz w:val="18"/>
        <w:szCs w:val="18"/>
        <w:lang w:val="en-US" w:eastAsia="en-US" w:bidi="ar-SA"/>
      </w:rPr>
    </w:lvl>
    <w:lvl w:ilvl="1">
      <w:start w:val="0"/>
      <w:numFmt w:val="bullet"/>
      <w:lvlText w:val="•"/>
      <w:lvlJc w:val="left"/>
      <w:pPr>
        <w:ind w:left="1296" w:hanging="361"/>
      </w:pPr>
      <w:rPr>
        <w:rFonts w:hint="default"/>
        <w:lang w:val="en-US" w:eastAsia="en-US" w:bidi="ar-SA"/>
      </w:rPr>
    </w:lvl>
    <w:lvl w:ilvl="2">
      <w:start w:val="0"/>
      <w:numFmt w:val="bullet"/>
      <w:lvlText w:val="•"/>
      <w:lvlJc w:val="left"/>
      <w:pPr>
        <w:ind w:left="1752" w:hanging="361"/>
      </w:pPr>
      <w:rPr>
        <w:rFonts w:hint="default"/>
        <w:lang w:val="en-US" w:eastAsia="en-US" w:bidi="ar-SA"/>
      </w:rPr>
    </w:lvl>
    <w:lvl w:ilvl="3">
      <w:start w:val="0"/>
      <w:numFmt w:val="bullet"/>
      <w:lvlText w:val="•"/>
      <w:lvlJc w:val="left"/>
      <w:pPr>
        <w:ind w:left="2209" w:hanging="361"/>
      </w:pPr>
      <w:rPr>
        <w:rFonts w:hint="default"/>
        <w:lang w:val="en-US" w:eastAsia="en-US" w:bidi="ar-SA"/>
      </w:rPr>
    </w:lvl>
    <w:lvl w:ilvl="4">
      <w:start w:val="0"/>
      <w:numFmt w:val="bullet"/>
      <w:lvlText w:val="•"/>
      <w:lvlJc w:val="left"/>
      <w:pPr>
        <w:ind w:left="2665" w:hanging="361"/>
      </w:pPr>
      <w:rPr>
        <w:rFonts w:hint="default"/>
        <w:lang w:val="en-US" w:eastAsia="en-US" w:bidi="ar-SA"/>
      </w:rPr>
    </w:lvl>
    <w:lvl w:ilvl="5">
      <w:start w:val="0"/>
      <w:numFmt w:val="bullet"/>
      <w:lvlText w:val="•"/>
      <w:lvlJc w:val="left"/>
      <w:pPr>
        <w:ind w:left="3122" w:hanging="361"/>
      </w:pPr>
      <w:rPr>
        <w:rFonts w:hint="default"/>
        <w:lang w:val="en-US" w:eastAsia="en-US" w:bidi="ar-SA"/>
      </w:rPr>
    </w:lvl>
    <w:lvl w:ilvl="6">
      <w:start w:val="0"/>
      <w:numFmt w:val="bullet"/>
      <w:lvlText w:val="•"/>
      <w:lvlJc w:val="left"/>
      <w:pPr>
        <w:ind w:left="3578" w:hanging="361"/>
      </w:pPr>
      <w:rPr>
        <w:rFonts w:hint="default"/>
        <w:lang w:val="en-US" w:eastAsia="en-US" w:bidi="ar-SA"/>
      </w:rPr>
    </w:lvl>
    <w:lvl w:ilvl="7">
      <w:start w:val="0"/>
      <w:numFmt w:val="bullet"/>
      <w:lvlText w:val="•"/>
      <w:lvlJc w:val="left"/>
      <w:pPr>
        <w:ind w:left="4035" w:hanging="361"/>
      </w:pPr>
      <w:rPr>
        <w:rFonts w:hint="default"/>
        <w:lang w:val="en-US" w:eastAsia="en-US" w:bidi="ar-SA"/>
      </w:rPr>
    </w:lvl>
    <w:lvl w:ilvl="8">
      <w:start w:val="0"/>
      <w:numFmt w:val="bullet"/>
      <w:lvlText w:val="•"/>
      <w:lvlJc w:val="left"/>
      <w:pPr>
        <w:ind w:left="4491"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89"/>
      <w:outlineLvl w:val="1"/>
    </w:pPr>
    <w:rPr>
      <w:rFonts w:ascii="Arial" w:hAnsi="Arial" w:eastAsia="Arial" w:cs="Arial"/>
      <w:b/>
      <w:bCs/>
      <w:sz w:val="20"/>
      <w:szCs w:val="20"/>
      <w:lang w:val="en-US" w:eastAsia="en-US" w:bidi="ar-SA"/>
    </w:rPr>
  </w:style>
  <w:style w:styleId="Title" w:type="paragraph">
    <w:name w:val="Title"/>
    <w:basedOn w:val="Normal"/>
    <w:uiPriority w:val="1"/>
    <w:qFormat/>
    <w:pPr>
      <w:spacing w:before="25"/>
      <w:ind w:left="220" w:right="551"/>
    </w:pPr>
    <w:rPr>
      <w:rFonts w:ascii="Times New Roman" w:hAnsi="Times New Roman" w:eastAsia="Times New Roman" w:cs="Times New Roman"/>
      <w:b/>
      <w:bCs/>
      <w:sz w:val="36"/>
      <w:szCs w:val="36"/>
      <w:lang w:val="en-US" w:eastAsia="en-US" w:bidi="ar-SA"/>
    </w:rPr>
  </w:style>
  <w:style w:styleId="ListParagraph" w:type="paragraph">
    <w:name w:val="List Paragraph"/>
    <w:basedOn w:val="Normal"/>
    <w:uiPriority w:val="1"/>
    <w:qFormat/>
    <w:pPr>
      <w:spacing w:before="101"/>
      <w:ind w:left="834" w:right="109" w:hanging="361"/>
      <w:jc w:val="both"/>
    </w:pPr>
    <w:rPr>
      <w:rFonts w:ascii="Carlito" w:hAnsi="Carlito" w:eastAsia="Carlito" w:cs="Carlit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mailto:mdrenniemedina@gmail.com" TargetMode="External"/><Relationship Id="rId8" Type="http://schemas.openxmlformats.org/officeDocument/2006/relationships/hyperlink" Target="http://www.linkedin.com/in/rennie-medina-b24913121"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dcterms:created xsi:type="dcterms:W3CDTF">2022-08-22T12:04:08Z</dcterms:created>
  <dcterms:modified xsi:type="dcterms:W3CDTF">2022-08-22T12:04:08Z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2022-08-08T00:00:00Z</vt:filetime>
  </property>
  <property fmtid="{D5CDD505-2E9C-101B-9397-08002B2CF9AE}" pid="3" name="Creator">
    <vt:lpwstr>Microsoft® Word 2016</vt:lpwstr>
  </property>
  <property fmtid="{D5CDD505-2E9C-101B-9397-08002B2CF9AE}" pid="4" name="LastSaved">
    <vt:filetime>2022-08-22T00:00:00Z</vt:filetime>
  </property>
</Properties>
</file>