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>
          <w:color w:val="4F81BC"/>
        </w:rPr>
        <w:t>The exploration of optimizing intensity-modulated radiotherapy clinical target</w:t>
      </w:r>
      <w:r>
        <w:rPr>
          <w:color w:val="4F81BC"/>
          <w:spacing w:val="1"/>
        </w:rPr>
        <w:t> </w:t>
      </w:r>
      <w:r>
        <w:rPr>
          <w:color w:val="4F81BC"/>
        </w:rPr>
        <w:t>volume</w:t>
      </w:r>
      <w:r>
        <w:rPr>
          <w:color w:val="4F81BC"/>
          <w:spacing w:val="-4"/>
        </w:rPr>
        <w:t> </w:t>
      </w:r>
      <w:r>
        <w:rPr>
          <w:color w:val="4F81BC"/>
        </w:rPr>
        <w:t>in</w:t>
      </w:r>
      <w:r>
        <w:rPr>
          <w:color w:val="4F81BC"/>
          <w:spacing w:val="-3"/>
        </w:rPr>
        <w:t> </w:t>
      </w:r>
      <w:r>
        <w:rPr>
          <w:color w:val="4F81BC"/>
        </w:rPr>
        <w:t>lower</w:t>
      </w:r>
      <w:r>
        <w:rPr>
          <w:color w:val="4F81BC"/>
          <w:spacing w:val="-3"/>
        </w:rPr>
        <w:t> </w:t>
      </w:r>
      <w:r>
        <w:rPr>
          <w:color w:val="4F81BC"/>
        </w:rPr>
        <w:t>neck</w:t>
      </w:r>
      <w:r>
        <w:rPr>
          <w:color w:val="4F81BC"/>
          <w:spacing w:val="-3"/>
        </w:rPr>
        <w:t> </w:t>
      </w:r>
      <w:r>
        <w:rPr>
          <w:color w:val="4F81BC"/>
        </w:rPr>
        <w:t>to</w:t>
      </w:r>
      <w:r>
        <w:rPr>
          <w:color w:val="4F81BC"/>
          <w:spacing w:val="-3"/>
        </w:rPr>
        <w:t> </w:t>
      </w:r>
      <w:r>
        <w:rPr>
          <w:color w:val="4F81BC"/>
        </w:rPr>
        <w:t>protect</w:t>
      </w:r>
      <w:r>
        <w:rPr>
          <w:color w:val="4F81BC"/>
          <w:spacing w:val="-4"/>
        </w:rPr>
        <w:t> </w:t>
      </w:r>
      <w:r>
        <w:rPr>
          <w:color w:val="4F81BC"/>
        </w:rPr>
        <w:t>the</w:t>
      </w:r>
      <w:r>
        <w:rPr>
          <w:color w:val="4F81BC"/>
          <w:spacing w:val="-3"/>
        </w:rPr>
        <w:t> </w:t>
      </w:r>
      <w:r>
        <w:rPr>
          <w:color w:val="4F81BC"/>
        </w:rPr>
        <w:t>thyroid</w:t>
      </w:r>
      <w:r>
        <w:rPr>
          <w:color w:val="4F81BC"/>
          <w:spacing w:val="-3"/>
        </w:rPr>
        <w:t> </w:t>
      </w:r>
      <w:r>
        <w:rPr>
          <w:color w:val="4F81BC"/>
        </w:rPr>
        <w:t>gland</w:t>
      </w:r>
      <w:r>
        <w:rPr>
          <w:color w:val="4F81BC"/>
          <w:spacing w:val="-2"/>
        </w:rPr>
        <w:t> </w:t>
      </w:r>
      <w:r>
        <w:rPr>
          <w:color w:val="4F81BC"/>
        </w:rPr>
        <w:t>in</w:t>
      </w:r>
      <w:r>
        <w:rPr>
          <w:color w:val="4F81BC"/>
          <w:spacing w:val="-3"/>
        </w:rPr>
        <w:t> </w:t>
      </w:r>
      <w:r>
        <w:rPr>
          <w:color w:val="4F81BC"/>
        </w:rPr>
        <w:t>nasopharyngeal</w:t>
      </w:r>
      <w:r>
        <w:rPr>
          <w:color w:val="4F81BC"/>
          <w:spacing w:val="-3"/>
        </w:rPr>
        <w:t> </w:t>
      </w:r>
      <w:r>
        <w:rPr>
          <w:color w:val="4F81BC"/>
        </w:rPr>
        <w:t>carcinoma</w:t>
      </w:r>
    </w:p>
    <w:p>
      <w:pPr>
        <w:spacing w:before="0"/>
        <w:ind w:left="4188" w:right="410" w:hanging="3753"/>
        <w:jc w:val="left"/>
        <w:rPr>
          <w:rFonts w:ascii="Times New Roman"/>
          <w:sz w:val="24"/>
        </w:rPr>
      </w:pPr>
      <w:r>
        <w:rPr>
          <w:sz w:val="22"/>
        </w:rPr>
        <w:t>Rong-Hui Zheng, </w:t>
      </w:r>
      <w:r>
        <w:rPr>
          <w:rFonts w:ascii="Times New Roman"/>
          <w:sz w:val="24"/>
        </w:rPr>
        <w:t>MD, Departmentof Radiotherapy Affiliated Cancer Hospital &amp; Institute of Guangzhou</w:t>
      </w:r>
      <w:r>
        <w:rPr>
          <w:rFonts w:ascii="Times New Roman"/>
          <w:spacing w:val="-57"/>
          <w:sz w:val="24"/>
        </w:rPr>
        <w:t> </w:t>
      </w:r>
      <w:r>
        <w:rPr>
          <w:rFonts w:ascii="Times New Roman"/>
          <w:sz w:val="24"/>
        </w:rPr>
        <w:t>Medical</w:t>
      </w:r>
      <w:r>
        <w:rPr>
          <w:rFonts w:ascii="Times New Roman"/>
          <w:spacing w:val="-1"/>
          <w:sz w:val="24"/>
        </w:rPr>
        <w:t> </w:t>
      </w:r>
      <w:r>
        <w:rPr>
          <w:rFonts w:ascii="Times New Roman"/>
          <w:sz w:val="24"/>
        </w:rPr>
        <w:t>University, China</w:t>
      </w:r>
    </w:p>
    <w:p>
      <w:pPr>
        <w:pStyle w:val="BodyText"/>
        <w:spacing w:before="1"/>
        <w:rPr>
          <w:rFonts w:ascii="Times New Roman"/>
          <w:sz w:val="22"/>
        </w:rPr>
      </w:pPr>
    </w:p>
    <w:p>
      <w:pPr>
        <w:spacing w:after="0"/>
        <w:rPr>
          <w:rFonts w:ascii="Times New Roman"/>
          <w:sz w:val="22"/>
        </w:rPr>
        <w:sectPr>
          <w:type w:val="continuous"/>
          <w:pgSz w:w="11920" w:h="16850"/>
          <w:pgMar w:top="920" w:bottom="280" w:left="500" w:right="500"/>
        </w:sectPr>
      </w:pPr>
    </w:p>
    <w:p>
      <w:pPr>
        <w:pStyle w:val="Heading2"/>
        <w:spacing w:before="164"/>
        <w:ind w:left="220"/>
      </w:pPr>
      <w:r>
        <w:rPr>
          <w:color w:val="BE5A13"/>
        </w:rPr>
        <w:t>Abstract</w:t>
      </w:r>
      <w:r>
        <w:rPr>
          <w:color w:val="BE5A13"/>
          <w:spacing w:val="-2"/>
        </w:rPr>
        <w:t> </w:t>
      </w:r>
      <w:r>
        <w:rPr>
          <w:color w:val="BE5A13"/>
        </w:rPr>
        <w:t>(300</w:t>
      </w:r>
      <w:r>
        <w:rPr>
          <w:color w:val="BE5A13"/>
          <w:spacing w:val="-3"/>
        </w:rPr>
        <w:t> </w:t>
      </w:r>
      <w:r>
        <w:rPr>
          <w:color w:val="BE5A13"/>
        </w:rPr>
        <w:t>word limit)</w:t>
      </w:r>
    </w:p>
    <w:p>
      <w:pPr>
        <w:pStyle w:val="BodyText"/>
        <w:spacing w:before="75"/>
        <w:ind w:left="220" w:right="196"/>
      </w:pPr>
      <w:r>
        <w:rPr/>
        <w:t>Purpose: To explore the optimization of clinical target volume</w:t>
      </w:r>
      <w:r>
        <w:rPr>
          <w:spacing w:val="-47"/>
        </w:rPr>
        <w:t> </w:t>
      </w:r>
      <w:r>
        <w:rPr/>
        <w:t>(CTV) delineation in lower neck to protect the thyroid gland in</w:t>
      </w:r>
      <w:r>
        <w:rPr>
          <w:spacing w:val="-47"/>
        </w:rPr>
        <w:t> </w:t>
      </w:r>
      <w:r>
        <w:rPr/>
        <w:t>nasopharyngeal carcinoma (NPC) patients treated with</w:t>
      </w:r>
      <w:r>
        <w:rPr>
          <w:spacing w:val="1"/>
        </w:rPr>
        <w:t> </w:t>
      </w:r>
      <w:r>
        <w:rPr/>
        <w:t>intensity-modulated radiotherapy (IMRT). Materials and</w:t>
      </w:r>
      <w:r>
        <w:rPr>
          <w:spacing w:val="1"/>
        </w:rPr>
        <w:t> </w:t>
      </w:r>
      <w:r>
        <w:rPr/>
        <w:t>methods: Part I (670 patients were included): We tried to find</w:t>
      </w:r>
      <w:r>
        <w:rPr>
          <w:spacing w:val="-47"/>
        </w:rPr>
        <w:t> </w:t>
      </w:r>
      <w:r>
        <w:rPr/>
        <w:t>out</w:t>
      </w:r>
      <w:r>
        <w:rPr>
          <w:spacing w:val="1"/>
        </w:rPr>
        <w:t> </w:t>
      </w:r>
      <w:r>
        <w:rPr/>
        <w:t>the extremely low risk sub-areas of lower neck lymph</w:t>
      </w:r>
      <w:r>
        <w:rPr>
          <w:spacing w:val="1"/>
        </w:rPr>
        <w:t> </w:t>
      </w:r>
      <w:r>
        <w:rPr/>
        <w:t>nodes </w:t>
      </w:r>
      <w:r>
        <w:rPr>
          <w:rFonts w:ascii="SimSun" w:eastAsia="SimSun" w:hint="eastAsia"/>
        </w:rPr>
        <w:t>（</w:t>
      </w:r>
      <w:r>
        <w:rPr/>
        <w:t>LNs</w:t>
      </w:r>
      <w:r>
        <w:rPr>
          <w:rFonts w:ascii="SimSun" w:eastAsia="SimSun" w:hint="eastAsia"/>
        </w:rPr>
        <w:t>）</w:t>
      </w:r>
      <w:r>
        <w:rPr>
          <w:rFonts w:ascii="SimSun" w:eastAsia="SimSun" w:hint="eastAsia"/>
          <w:spacing w:val="-1"/>
        </w:rPr>
        <w:t> </w:t>
      </w:r>
      <w:r>
        <w:rPr/>
        <w:t>metastasis</w:t>
      </w:r>
      <w:r>
        <w:rPr>
          <w:spacing w:val="-2"/>
        </w:rPr>
        <w:t> </w:t>
      </w:r>
      <w:r>
        <w:rPr/>
        <w:t>by</w:t>
      </w:r>
      <w:r>
        <w:rPr>
          <w:spacing w:val="-2"/>
        </w:rPr>
        <w:t> </w:t>
      </w:r>
      <w:r>
        <w:rPr/>
        <w:t>dividing</w:t>
      </w:r>
      <w:r>
        <w:rPr>
          <w:spacing w:val="1"/>
        </w:rPr>
        <w:t> </w:t>
      </w:r>
      <w:r>
        <w:rPr/>
        <w:t>into</w:t>
      </w:r>
      <w:r>
        <w:rPr>
          <w:spacing w:val="-3"/>
        </w:rPr>
        <w:t> </w:t>
      </w:r>
      <w:r>
        <w:rPr/>
        <w:t>six</w:t>
      </w:r>
      <w:r>
        <w:rPr>
          <w:spacing w:val="-1"/>
        </w:rPr>
        <w:t> </w:t>
      </w:r>
      <w:r>
        <w:rPr/>
        <w:t>sub-areas</w:t>
      </w:r>
    </w:p>
    <w:p>
      <w:pPr>
        <w:pStyle w:val="BodyText"/>
        <w:spacing w:before="4"/>
        <w:ind w:left="220" w:right="-9"/>
      </w:pPr>
      <w:r>
        <w:rPr>
          <w:rFonts w:ascii="SimSun" w:hAnsi="SimSun" w:eastAsia="SimSun" w:hint="eastAsia"/>
        </w:rPr>
        <w:t>（</w:t>
      </w:r>
      <w:r>
        <w:rPr/>
        <w:t>Figure 1</w:t>
      </w:r>
      <w:r>
        <w:rPr>
          <w:rFonts w:ascii="SimSun" w:hAnsi="SimSun" w:eastAsia="SimSun" w:hint="eastAsia"/>
        </w:rPr>
        <w:t>）</w:t>
      </w:r>
      <w:r>
        <w:rPr/>
        <w:t>. Part II (40 patients were included): According to</w:t>
      </w:r>
      <w:r>
        <w:rPr>
          <w:spacing w:val="1"/>
        </w:rPr>
        <w:t> </w:t>
      </w:r>
      <w:r>
        <w:rPr/>
        <w:t>the research results of extremely low risk sub-areas CTV in part</w:t>
      </w:r>
      <w:r>
        <w:rPr>
          <w:spacing w:val="-48"/>
        </w:rPr>
        <w:t> </w:t>
      </w:r>
      <w:r>
        <w:rPr/>
        <w:t>I from different N stages patients</w:t>
      </w:r>
      <w:r>
        <w:rPr>
          <w:rFonts w:ascii="SimSun" w:hAnsi="SimSun" w:eastAsia="SimSun" w:hint="eastAsia"/>
        </w:rPr>
        <w:t>, </w:t>
      </w:r>
      <w:r>
        <w:rPr/>
        <w:t>the extremely low risk sub-</w:t>
      </w:r>
      <w:r>
        <w:rPr>
          <w:spacing w:val="1"/>
        </w:rPr>
        <w:t> </w:t>
      </w:r>
      <w:r>
        <w:rPr/>
        <w:t>areas were in lower neck were shrunk, then we made new</w:t>
      </w:r>
      <w:r>
        <w:rPr>
          <w:spacing w:val="1"/>
        </w:rPr>
        <w:t> </w:t>
      </w:r>
      <w:r>
        <w:rPr/>
        <w:t>radiotherapy plans, and last we evaluated the irradiation doses</w:t>
      </w:r>
      <w:r>
        <w:rPr>
          <w:spacing w:val="1"/>
        </w:rPr>
        <w:t> </w:t>
      </w:r>
      <w:r>
        <w:rPr/>
        <w:t>of thyroid in new plans comparing with the control plans (not</w:t>
      </w:r>
      <w:r>
        <w:rPr>
          <w:spacing w:val="1"/>
        </w:rPr>
        <w:t> </w:t>
      </w:r>
      <w:r>
        <w:rPr/>
        <w:t>shrink the lower neck CTV). Result: In Part I, we found that</w:t>
      </w:r>
      <w:r>
        <w:rPr>
          <w:spacing w:val="1"/>
        </w:rPr>
        <w:t> </w:t>
      </w:r>
      <w:r>
        <w:rPr>
          <w:spacing w:val="-1"/>
        </w:rPr>
        <w:t>positive </w:t>
      </w:r>
      <w:r>
        <w:rPr>
          <w:rFonts w:ascii="SimSun" w:hAnsi="SimSun" w:eastAsia="SimSun" w:hint="eastAsia"/>
          <w:spacing w:val="-1"/>
        </w:rPr>
        <w:t>（</w:t>
      </w:r>
      <w:r>
        <w:rPr>
          <w:spacing w:val="-1"/>
        </w:rPr>
        <w:t>short </w:t>
      </w:r>
      <w:r>
        <w:rPr/>
        <w:t>diameter</w:t>
      </w:r>
      <w:r>
        <w:rPr>
          <w:rFonts w:ascii="SimSun" w:hAnsi="SimSun" w:eastAsia="SimSun" w:hint="eastAsia"/>
        </w:rPr>
        <w:t>≥</w:t>
      </w:r>
      <w:r>
        <w:rPr/>
        <w:t>4mm</w:t>
      </w:r>
      <w:r>
        <w:rPr>
          <w:rFonts w:ascii="SimSun" w:hAnsi="SimSun" w:eastAsia="SimSun" w:hint="eastAsia"/>
        </w:rPr>
        <w:t>） </w:t>
      </w:r>
      <w:r>
        <w:rPr/>
        <w:t>rate of lower neck LNs was</w:t>
      </w:r>
      <w:r>
        <w:rPr>
          <w:spacing w:val="1"/>
        </w:rPr>
        <w:t> </w:t>
      </w:r>
      <w:r>
        <w:rPr/>
        <w:t>0% all in 1-5 subregions for N0 patients, in 1-4 subregions for</w:t>
      </w:r>
      <w:r>
        <w:rPr>
          <w:spacing w:val="1"/>
        </w:rPr>
        <w:t> </w:t>
      </w:r>
      <w:r>
        <w:rPr/>
        <w:t>N1 patients and 1-3 subregions for N2 patients. In Part II,</w:t>
      </w:r>
      <w:r>
        <w:rPr>
          <w:spacing w:val="1"/>
        </w:rPr>
        <w:t> </w:t>
      </w:r>
      <w:r>
        <w:rPr/>
        <w:t>results showed that the median thyroid dose and V50 after</w:t>
      </w:r>
      <w:r>
        <w:rPr>
          <w:spacing w:val="1"/>
        </w:rPr>
        <w:t> </w:t>
      </w:r>
      <w:r>
        <w:rPr/>
        <w:t>shrinking lower neck CTV area decreased to 35.3% and 36.9%</w:t>
      </w:r>
      <w:r>
        <w:rPr>
          <w:spacing w:val="1"/>
        </w:rPr>
        <w:t> </w:t>
      </w:r>
      <w:r>
        <w:rPr/>
        <w:t>comparing with 54.1%</w:t>
      </w:r>
      <w:r>
        <w:rPr>
          <w:rFonts w:ascii="SimSun" w:hAnsi="SimSun" w:eastAsia="SimSun" w:hint="eastAsia"/>
        </w:rPr>
        <w:t>（</w:t>
      </w:r>
      <w:r>
        <w:rPr/>
        <w:t>P=0. 000</w:t>
      </w:r>
      <w:r>
        <w:rPr>
          <w:rFonts w:ascii="SimSun" w:hAnsi="SimSun" w:eastAsia="SimSun" w:hint="eastAsia"/>
        </w:rPr>
        <w:t>）</w:t>
      </w:r>
      <w:r>
        <w:rPr/>
        <w:t>and 58.3%</w:t>
      </w:r>
      <w:r>
        <w:rPr>
          <w:rFonts w:ascii="SimSun" w:hAnsi="SimSun" w:eastAsia="SimSun" w:hint="eastAsia"/>
        </w:rPr>
        <w:t>（</w:t>
      </w:r>
      <w:r>
        <w:rPr/>
        <w:t>P=0. 000</w:t>
      </w:r>
      <w:r>
        <w:rPr>
          <w:rFonts w:ascii="SimSun" w:hAnsi="SimSun" w:eastAsia="SimSun" w:hint="eastAsia"/>
        </w:rPr>
        <w:t>）</w:t>
      </w:r>
      <w:r>
        <w:rPr>
          <w:rFonts w:ascii="SimSun" w:hAnsi="SimSun" w:eastAsia="SimSun" w:hint="eastAsia"/>
          <w:spacing w:val="1"/>
        </w:rPr>
        <w:t> </w:t>
      </w:r>
      <w:r>
        <w:rPr/>
        <w:t>before CTV shrinking; the dose of common carotid artery (V60),</w:t>
      </w:r>
      <w:r>
        <w:rPr>
          <w:spacing w:val="-47"/>
        </w:rPr>
        <w:t> </w:t>
      </w:r>
      <w:r>
        <w:rPr/>
        <w:t>esophagus (Dmean) and trachea (Dmean) decreased as well.</w:t>
      </w:r>
      <w:r>
        <w:rPr>
          <w:spacing w:val="1"/>
        </w:rPr>
        <w:t> </w:t>
      </w:r>
      <w:r>
        <w:rPr/>
        <w:t>Conclusion: The CTV of the lower neck of NPC has a shrunk</w:t>
      </w:r>
      <w:r>
        <w:rPr>
          <w:spacing w:val="1"/>
        </w:rPr>
        <w:t> </w:t>
      </w:r>
      <w:r>
        <w:rPr/>
        <w:t>space: 1-4 subregions can be omitted in N1 patients and 1-3</w:t>
      </w:r>
      <w:r>
        <w:rPr>
          <w:spacing w:val="1"/>
        </w:rPr>
        <w:t> </w:t>
      </w:r>
      <w:r>
        <w:rPr/>
        <w:t>subregions can be omitted in N2 patients to protect the thyroid</w:t>
      </w:r>
      <w:r>
        <w:rPr>
          <w:spacing w:val="1"/>
        </w:rPr>
        <w:t> </w:t>
      </w:r>
      <w:r>
        <w:rPr/>
        <w:t>and other OARs in lower neck. However, further clinical</w:t>
      </w:r>
      <w:r>
        <w:rPr>
          <w:spacing w:val="1"/>
        </w:rPr>
        <w:t> </w:t>
      </w:r>
      <w:r>
        <w:rPr/>
        <w:t>researches remain needed to confirm whether the dose</w:t>
      </w:r>
      <w:r>
        <w:rPr>
          <w:spacing w:val="1"/>
        </w:rPr>
        <w:t> </w:t>
      </w:r>
      <w:r>
        <w:rPr/>
        <w:t>reductions can be transformed into clinical reductions of toxic</w:t>
      </w:r>
      <w:r>
        <w:rPr>
          <w:spacing w:val="1"/>
        </w:rPr>
        <w:t> </w:t>
      </w:r>
      <w:r>
        <w:rPr/>
        <w:t>reactions</w:t>
      </w:r>
      <w:r>
        <w:rPr>
          <w:spacing w:val="1"/>
        </w:rPr>
        <w:t> </w:t>
      </w:r>
      <w:r>
        <w:rPr/>
        <w:t>and</w:t>
      </w:r>
      <w:r>
        <w:rPr>
          <w:spacing w:val="-1"/>
        </w:rPr>
        <w:t> </w:t>
      </w:r>
      <w:r>
        <w:rPr/>
        <w:t>the improvements</w:t>
      </w:r>
      <w:r>
        <w:rPr>
          <w:spacing w:val="1"/>
        </w:rPr>
        <w:t> </w:t>
      </w:r>
      <w:r>
        <w:rPr/>
        <w:t>of</w:t>
      </w:r>
      <w:r>
        <w:rPr>
          <w:spacing w:val="-2"/>
        </w:rPr>
        <w:t> </w:t>
      </w:r>
      <w:r>
        <w:rPr/>
        <w:t>quality of</w:t>
      </w:r>
      <w:r>
        <w:rPr>
          <w:spacing w:val="-2"/>
        </w:rPr>
        <w:t> </w:t>
      </w:r>
      <w:r>
        <w:rPr/>
        <w:t>life.</w:t>
      </w:r>
    </w:p>
    <w:p>
      <w:pPr>
        <w:pStyle w:val="Heading2"/>
        <w:spacing w:before="92"/>
        <w:ind w:left="239"/>
      </w:pPr>
      <w:r>
        <w:rPr>
          <w:b w:val="0"/>
        </w:rPr>
        <w:br w:type="column"/>
      </w:r>
      <w:r>
        <w:rPr>
          <w:color w:val="BE5A13"/>
        </w:rPr>
        <w:t>Image</w:t>
      </w:r>
    </w:p>
    <w:p>
      <w:pPr>
        <w:pStyle w:val="BodyText"/>
        <w:ind w:left="138"/>
        <w:rPr>
          <w:rFonts w:ascii="Arial"/>
          <w:sz w:val="20"/>
        </w:rPr>
      </w:pPr>
      <w:r>
        <w:rPr>
          <w:rFonts w:ascii="Arial"/>
          <w:sz w:val="20"/>
        </w:rPr>
        <w:pict>
          <v:group style="width:262.150pt;height:150.8pt;mso-position-horizontal-relative:char;mso-position-vertical-relative:line" coordorigin="0,0" coordsize="5243,3016">
            <v:shape style="position:absolute;left:0;top:0;width:5243;height:3016" type="#_x0000_t75" stroked="false">
              <v:imagedata r:id="rId5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7;top:2406;width:712;height:196" type="#_x0000_t202" filled="false" stroked="false">
              <v:textbox inset="0,0,0,0">
                <w:txbxContent>
                  <w:p>
                    <w:pPr>
                      <w:spacing w:line="192" w:lineRule="exact" w:before="0"/>
                      <w:ind w:left="0" w:right="0" w:firstLine="0"/>
                      <w:jc w:val="left"/>
                      <w:rPr>
                        <w:rFonts w:ascii="Microsoft Sans Serif"/>
                        <w:sz w:val="18"/>
                      </w:rPr>
                    </w:pPr>
                    <w:r>
                      <w:rPr>
                        <w:rFonts w:ascii="Microsoft Sans Serif"/>
                        <w:w w:val="90"/>
                        <w:sz w:val="18"/>
                      </w:rPr>
                      <w:t>(Figure</w:t>
                    </w:r>
                    <w:r>
                      <w:rPr>
                        <w:rFonts w:ascii="Microsoft Sans Serif"/>
                        <w:spacing w:val="-6"/>
                        <w:w w:val="90"/>
                        <w:sz w:val="18"/>
                      </w:rPr>
                      <w:t> </w:t>
                    </w:r>
                    <w:r>
                      <w:rPr>
                        <w:rFonts w:ascii="Microsoft Sans Serif"/>
                        <w:w w:val="90"/>
                        <w:sz w:val="18"/>
                      </w:rPr>
                      <w:t>1)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/>
          <w:sz w:val="20"/>
        </w:rPr>
      </w:r>
    </w:p>
    <w:p>
      <w:pPr>
        <w:spacing w:before="45"/>
        <w:ind w:left="139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1"/>
          <w:sz w:val="20"/>
        </w:rPr>
        <w:t> </w:t>
      </w:r>
      <w:r>
        <w:rPr>
          <w:rFonts w:ascii="Arial"/>
          <w:b/>
          <w:color w:val="BE5A13"/>
          <w:sz w:val="20"/>
        </w:rPr>
        <w:t>Publications</w:t>
      </w:r>
      <w:r>
        <w:rPr>
          <w:rFonts w:ascii="Arial"/>
          <w:b/>
          <w:color w:val="BE5A13"/>
          <w:spacing w:val="-3"/>
          <w:sz w:val="20"/>
        </w:rPr>
        <w:t> </w:t>
      </w:r>
      <w:r>
        <w:rPr>
          <w:rFonts w:ascii="Arial"/>
          <w:b/>
          <w:color w:val="BE5A13"/>
          <w:sz w:val="20"/>
        </w:rPr>
        <w:t>(minimum</w:t>
      </w:r>
      <w:r>
        <w:rPr>
          <w:rFonts w:ascii="Arial"/>
          <w:b/>
          <w:color w:val="BE5A13"/>
          <w:spacing w:val="-4"/>
          <w:sz w:val="20"/>
        </w:rPr>
        <w:t> </w:t>
      </w:r>
      <w:r>
        <w:rPr>
          <w:rFonts w:ascii="Arial"/>
          <w:b/>
          <w:color w:val="BE5A13"/>
          <w:sz w:val="20"/>
        </w:rPr>
        <w:t>5)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2" w:after="0"/>
        <w:ind w:left="499" w:right="379" w:hanging="360"/>
        <w:jc w:val="both"/>
        <w:rPr>
          <w:sz w:val="15"/>
        </w:rPr>
      </w:pPr>
      <w:r>
        <w:rPr>
          <w:sz w:val="15"/>
        </w:rPr>
        <w:t>Jian-Hui Feng, Rong-Hui Zheng*</w:t>
      </w:r>
      <w:r>
        <w:rPr>
          <w:rFonts w:ascii="SimSun" w:eastAsia="SimSun" w:hint="eastAsia"/>
          <w:sz w:val="15"/>
        </w:rPr>
        <w:t>（</w:t>
      </w:r>
      <w:r>
        <w:rPr>
          <w:sz w:val="15"/>
        </w:rPr>
        <w:t>2022</w:t>
      </w:r>
      <w:r>
        <w:rPr>
          <w:rFonts w:ascii="SimSun" w:eastAsia="SimSun" w:hint="eastAsia"/>
          <w:sz w:val="15"/>
        </w:rPr>
        <w:t>）</w:t>
      </w:r>
      <w:r>
        <w:rPr>
          <w:sz w:val="15"/>
        </w:rPr>
        <w:t>The exploration of optimizing IMRT</w:t>
      </w:r>
      <w:r>
        <w:rPr>
          <w:spacing w:val="-31"/>
          <w:sz w:val="15"/>
        </w:rPr>
        <w:t> </w:t>
      </w:r>
      <w:r>
        <w:rPr>
          <w:sz w:val="15"/>
        </w:rPr>
        <w:t>clinical target volume in lower neck to protect the thyroid gland in NPC. 2022</w:t>
      </w:r>
      <w:r>
        <w:rPr>
          <w:spacing w:val="-31"/>
          <w:sz w:val="15"/>
        </w:rPr>
        <w:t> </w:t>
      </w:r>
      <w:r>
        <w:rPr>
          <w:sz w:val="15"/>
        </w:rPr>
        <w:t>World Cancer Congress -Abstract inclusion in the abstract e-library + meeting</w:t>
      </w:r>
      <w:r>
        <w:rPr>
          <w:spacing w:val="-31"/>
          <w:sz w:val="15"/>
        </w:rPr>
        <w:t> </w:t>
      </w:r>
      <w:r>
        <w:rPr>
          <w:sz w:val="15"/>
        </w:rPr>
        <w:t>facility.</w:t>
      </w:r>
    </w:p>
    <w:p>
      <w:pPr>
        <w:pStyle w:val="ListParagraph"/>
        <w:numPr>
          <w:ilvl w:val="0"/>
          <w:numId w:val="1"/>
        </w:numPr>
        <w:tabs>
          <w:tab w:pos="500" w:val="left" w:leader="none"/>
        </w:tabs>
        <w:spacing w:line="240" w:lineRule="auto" w:before="3" w:after="0"/>
        <w:ind w:left="499" w:right="454" w:hanging="360"/>
        <w:jc w:val="both"/>
        <w:rPr>
          <w:sz w:val="15"/>
        </w:rPr>
      </w:pPr>
      <w:r>
        <w:rPr>
          <w:sz w:val="15"/>
        </w:rPr>
        <w:t>Jin-Yun Tan, Rong-Hui Zheng*</w:t>
      </w:r>
      <w:r>
        <w:rPr>
          <w:rFonts w:ascii="SimSun" w:eastAsia="SimSun" w:hint="eastAsia"/>
          <w:sz w:val="15"/>
        </w:rPr>
        <w:t>（</w:t>
      </w:r>
      <w:r>
        <w:rPr>
          <w:sz w:val="15"/>
        </w:rPr>
        <w:t>2022</w:t>
      </w:r>
      <w:r>
        <w:rPr>
          <w:rFonts w:ascii="SimSun" w:eastAsia="SimSun" w:hint="eastAsia"/>
          <w:sz w:val="15"/>
        </w:rPr>
        <w:t>）</w:t>
      </w:r>
      <w:r>
        <w:rPr>
          <w:sz w:val="15"/>
        </w:rPr>
        <w:t>Nomogram of hypothyroidism after</w:t>
      </w:r>
      <w:r>
        <w:rPr>
          <w:spacing w:val="1"/>
          <w:sz w:val="15"/>
        </w:rPr>
        <w:t> </w:t>
      </w:r>
      <w:r>
        <w:rPr>
          <w:sz w:val="15"/>
        </w:rPr>
        <w:t>IMRT and anti-PD-1 immunotherapy for NPC. 2022 World Cancer Congress -</w:t>
      </w:r>
      <w:r>
        <w:rPr>
          <w:spacing w:val="-31"/>
          <w:sz w:val="15"/>
        </w:rPr>
        <w:t> </w:t>
      </w:r>
      <w:r>
        <w:rPr>
          <w:sz w:val="15"/>
        </w:rPr>
        <w:t>Abstract</w:t>
      </w:r>
      <w:r>
        <w:rPr>
          <w:spacing w:val="-2"/>
          <w:sz w:val="15"/>
        </w:rPr>
        <w:t> </w:t>
      </w:r>
      <w:r>
        <w:rPr>
          <w:sz w:val="15"/>
        </w:rPr>
        <w:t>inclusion</w:t>
      </w:r>
      <w:r>
        <w:rPr>
          <w:spacing w:val="-1"/>
          <w:sz w:val="15"/>
        </w:rPr>
        <w:t> </w:t>
      </w:r>
      <w:r>
        <w:rPr>
          <w:sz w:val="15"/>
        </w:rPr>
        <w:t>in</w:t>
      </w:r>
      <w:r>
        <w:rPr>
          <w:spacing w:val="-2"/>
          <w:sz w:val="15"/>
        </w:rPr>
        <w:t> </w:t>
      </w:r>
      <w:r>
        <w:rPr>
          <w:sz w:val="15"/>
        </w:rPr>
        <w:t>the</w:t>
      </w:r>
      <w:r>
        <w:rPr>
          <w:spacing w:val="-2"/>
          <w:sz w:val="15"/>
        </w:rPr>
        <w:t> </w:t>
      </w:r>
      <w:r>
        <w:rPr>
          <w:sz w:val="15"/>
        </w:rPr>
        <w:t>abstract</w:t>
      </w:r>
      <w:r>
        <w:rPr>
          <w:spacing w:val="-1"/>
          <w:sz w:val="15"/>
        </w:rPr>
        <w:t> </w:t>
      </w:r>
      <w:r>
        <w:rPr>
          <w:sz w:val="15"/>
        </w:rPr>
        <w:t>e-library +</w:t>
      </w:r>
      <w:r>
        <w:rPr>
          <w:spacing w:val="-3"/>
          <w:sz w:val="15"/>
        </w:rPr>
        <w:t> </w:t>
      </w:r>
      <w:r>
        <w:rPr>
          <w:sz w:val="15"/>
        </w:rPr>
        <w:t>meeting facility.</w:t>
      </w:r>
    </w:p>
    <w:p>
      <w:pPr>
        <w:pStyle w:val="ListParagraph"/>
        <w:numPr>
          <w:ilvl w:val="0"/>
          <w:numId w:val="1"/>
        </w:numPr>
        <w:tabs>
          <w:tab w:pos="498" w:val="left" w:leader="none"/>
          <w:tab w:pos="500" w:val="left" w:leader="none"/>
        </w:tabs>
        <w:spacing w:line="240" w:lineRule="auto" w:before="0" w:after="0"/>
        <w:ind w:left="499" w:right="736" w:hanging="360"/>
        <w:jc w:val="left"/>
        <w:rPr>
          <w:sz w:val="15"/>
        </w:rPr>
      </w:pPr>
      <w:r>
        <w:rPr>
          <w:sz w:val="15"/>
        </w:rPr>
        <w:t>Hao-Yun Tao</w:t>
      </w:r>
      <w:r>
        <w:rPr>
          <w:rFonts w:ascii="SimSun" w:hAnsi="SimSun" w:eastAsia="SimSun" w:hint="eastAsia"/>
          <w:sz w:val="15"/>
        </w:rPr>
        <w:t>，</w:t>
      </w:r>
      <w:r>
        <w:rPr>
          <w:sz w:val="15"/>
        </w:rPr>
        <w:t>Rong-Hui Zheng*</w:t>
      </w:r>
      <w:r>
        <w:rPr>
          <w:rFonts w:ascii="SimSun" w:hAnsi="SimSun" w:eastAsia="SimSun" w:hint="eastAsia"/>
          <w:sz w:val="15"/>
        </w:rPr>
        <w:t>（</w:t>
      </w:r>
      <w:r>
        <w:rPr>
          <w:sz w:val="15"/>
        </w:rPr>
        <w:t>2021</w:t>
      </w:r>
      <w:r>
        <w:rPr>
          <w:rFonts w:ascii="SimSun" w:hAnsi="SimSun" w:eastAsia="SimSun" w:hint="eastAsia"/>
          <w:sz w:val="15"/>
        </w:rPr>
        <w:t>）</w:t>
      </w:r>
      <w:r>
        <w:rPr>
          <w:sz w:val="15"/>
        </w:rPr>
        <w:t>Adjuvant chemotherapy</w:t>
      </w:r>
      <w:r>
        <w:rPr>
          <w:spacing w:val="1"/>
          <w:sz w:val="15"/>
        </w:rPr>
        <w:t> </w:t>
      </w:r>
      <w:r>
        <w:rPr>
          <w:sz w:val="15"/>
        </w:rPr>
        <w:t>following combined induction chemotherapy and concurrent</w:t>
      </w:r>
      <w:r>
        <w:rPr>
          <w:spacing w:val="1"/>
          <w:sz w:val="15"/>
        </w:rPr>
        <w:t> </w:t>
      </w:r>
      <w:r>
        <w:rPr>
          <w:sz w:val="15"/>
        </w:rPr>
        <w:t>chemoradiotherapy improves survival in N2–3-positive nasopharyngeal</w:t>
      </w:r>
      <w:r>
        <w:rPr>
          <w:spacing w:val="-31"/>
          <w:sz w:val="15"/>
        </w:rPr>
        <w:t> </w:t>
      </w:r>
      <w:r>
        <w:rPr>
          <w:sz w:val="15"/>
        </w:rPr>
        <w:t>carcinoma</w:t>
      </w:r>
      <w:r>
        <w:rPr>
          <w:spacing w:val="-2"/>
          <w:sz w:val="15"/>
        </w:rPr>
        <w:t> </w:t>
      </w:r>
      <w:r>
        <w:rPr>
          <w:sz w:val="15"/>
        </w:rPr>
        <w:t>patients.</w:t>
      </w:r>
      <w:r>
        <w:rPr>
          <w:spacing w:val="-2"/>
          <w:sz w:val="15"/>
        </w:rPr>
        <w:t> </w:t>
      </w:r>
      <w:r>
        <w:rPr>
          <w:sz w:val="15"/>
        </w:rPr>
        <w:t>Journal</w:t>
      </w:r>
      <w:r>
        <w:rPr>
          <w:spacing w:val="-3"/>
          <w:sz w:val="15"/>
        </w:rPr>
        <w:t> </w:t>
      </w:r>
      <w:r>
        <w:rPr>
          <w:sz w:val="15"/>
        </w:rPr>
        <w:t>of</w:t>
      </w:r>
      <w:r>
        <w:rPr>
          <w:spacing w:val="-2"/>
          <w:sz w:val="15"/>
        </w:rPr>
        <w:t> </w:t>
      </w:r>
      <w:r>
        <w:rPr>
          <w:sz w:val="15"/>
        </w:rPr>
        <w:t>cancer</w:t>
      </w:r>
      <w:r>
        <w:rPr>
          <w:spacing w:val="-4"/>
          <w:sz w:val="15"/>
        </w:rPr>
        <w:t> </w:t>
      </w:r>
      <w:r>
        <w:rPr>
          <w:sz w:val="15"/>
        </w:rPr>
        <w:t>research</w:t>
      </w:r>
      <w:r>
        <w:rPr>
          <w:spacing w:val="-1"/>
          <w:sz w:val="15"/>
        </w:rPr>
        <w:t> </w:t>
      </w:r>
      <w:r>
        <w:rPr>
          <w:sz w:val="15"/>
        </w:rPr>
        <w:t>and</w:t>
      </w:r>
      <w:r>
        <w:rPr>
          <w:spacing w:val="-2"/>
          <w:sz w:val="15"/>
        </w:rPr>
        <w:t> </w:t>
      </w:r>
      <w:r>
        <w:rPr>
          <w:sz w:val="15"/>
        </w:rPr>
        <w:t>clinical</w:t>
      </w:r>
      <w:r>
        <w:rPr>
          <w:spacing w:val="-2"/>
          <w:sz w:val="15"/>
        </w:rPr>
        <w:t> </w:t>
      </w:r>
      <w:r>
        <w:rPr>
          <w:sz w:val="15"/>
        </w:rPr>
        <w:t>oncology.</w:t>
      </w:r>
    </w:p>
    <w:p>
      <w:pPr>
        <w:pStyle w:val="ListParagraph"/>
        <w:numPr>
          <w:ilvl w:val="0"/>
          <w:numId w:val="1"/>
        </w:numPr>
        <w:tabs>
          <w:tab w:pos="498" w:val="left" w:leader="none"/>
          <w:tab w:pos="500" w:val="left" w:leader="none"/>
        </w:tabs>
        <w:spacing w:line="240" w:lineRule="auto" w:before="3" w:after="0"/>
        <w:ind w:left="499" w:right="180" w:hanging="360"/>
        <w:jc w:val="left"/>
        <w:rPr>
          <w:sz w:val="15"/>
        </w:rPr>
      </w:pPr>
      <w:r>
        <w:rPr>
          <w:sz w:val="15"/>
        </w:rPr>
        <w:t>Hao-Yun Tao</w:t>
      </w:r>
      <w:r>
        <w:rPr>
          <w:rFonts w:ascii="SimSun" w:hAnsi="SimSun" w:eastAsia="SimSun" w:hint="eastAsia"/>
          <w:sz w:val="15"/>
        </w:rPr>
        <w:t>，</w:t>
      </w:r>
      <w:r>
        <w:rPr>
          <w:sz w:val="15"/>
        </w:rPr>
        <w:t>Rong-Hui Zheng*</w:t>
      </w:r>
      <w:r>
        <w:rPr>
          <w:rFonts w:ascii="SimSun" w:hAnsi="SimSun" w:eastAsia="SimSun" w:hint="eastAsia"/>
          <w:sz w:val="15"/>
        </w:rPr>
        <w:t>（</w:t>
      </w:r>
      <w:r>
        <w:rPr>
          <w:sz w:val="15"/>
        </w:rPr>
        <w:t>2021</w:t>
      </w:r>
      <w:r>
        <w:rPr>
          <w:rFonts w:ascii="SimSun" w:hAnsi="SimSun" w:eastAsia="SimSun" w:hint="eastAsia"/>
          <w:sz w:val="15"/>
        </w:rPr>
        <w:t>）</w:t>
      </w:r>
      <w:r>
        <w:rPr>
          <w:sz w:val="15"/>
        </w:rPr>
        <w:t>Docetaxel and cisplatin induction</w:t>
      </w:r>
      <w:r>
        <w:rPr>
          <w:spacing w:val="1"/>
          <w:sz w:val="15"/>
        </w:rPr>
        <w:t> </w:t>
      </w:r>
      <w:r>
        <w:rPr>
          <w:sz w:val="15"/>
        </w:rPr>
        <w:t>chemotherapy with or without fluorouracil in locoregionally advanced</w:t>
      </w:r>
      <w:r>
        <w:rPr>
          <w:spacing w:val="1"/>
          <w:sz w:val="15"/>
        </w:rPr>
        <w:t> </w:t>
      </w:r>
      <w:r>
        <w:rPr>
          <w:sz w:val="15"/>
        </w:rPr>
        <w:t>nasopharyngeal carcinoma : A retrospective propensity score matching analysis.</w:t>
      </w:r>
      <w:r>
        <w:rPr>
          <w:spacing w:val="-31"/>
          <w:sz w:val="15"/>
        </w:rPr>
        <w:t> </w:t>
      </w:r>
      <w:r>
        <w:rPr>
          <w:sz w:val="15"/>
        </w:rPr>
        <w:t>Asia-Pac</w:t>
      </w:r>
      <w:r>
        <w:rPr>
          <w:spacing w:val="-1"/>
          <w:sz w:val="15"/>
        </w:rPr>
        <w:t> </w:t>
      </w:r>
      <w:r>
        <w:rPr>
          <w:sz w:val="15"/>
        </w:rPr>
        <w:t>J</w:t>
      </w:r>
      <w:r>
        <w:rPr>
          <w:spacing w:val="-3"/>
          <w:sz w:val="15"/>
        </w:rPr>
        <w:t> </w:t>
      </w:r>
      <w:r>
        <w:rPr>
          <w:sz w:val="15"/>
        </w:rPr>
        <w:t>Clin</w:t>
      </w:r>
      <w:r>
        <w:rPr>
          <w:spacing w:val="-1"/>
          <w:sz w:val="15"/>
        </w:rPr>
        <w:t> </w:t>
      </w:r>
      <w:r>
        <w:rPr>
          <w:sz w:val="15"/>
        </w:rPr>
        <w:t>Oncol. 2021;1–8.</w:t>
      </w:r>
    </w:p>
    <w:p>
      <w:pPr>
        <w:pStyle w:val="ListParagraph"/>
        <w:numPr>
          <w:ilvl w:val="0"/>
          <w:numId w:val="1"/>
        </w:numPr>
        <w:tabs>
          <w:tab w:pos="498" w:val="left" w:leader="none"/>
          <w:tab w:pos="500" w:val="left" w:leader="none"/>
        </w:tabs>
        <w:spacing w:line="240" w:lineRule="auto" w:before="3" w:after="0"/>
        <w:ind w:left="499" w:right="504" w:hanging="360"/>
        <w:jc w:val="left"/>
        <w:rPr>
          <w:sz w:val="15"/>
        </w:rPr>
      </w:pPr>
      <w:r>
        <w:rPr>
          <w:sz w:val="15"/>
        </w:rPr>
        <w:t>Hao-Yun Tao</w:t>
      </w:r>
      <w:r>
        <w:rPr>
          <w:rFonts w:ascii="SimSun" w:eastAsia="SimSun" w:hint="eastAsia"/>
          <w:sz w:val="15"/>
        </w:rPr>
        <w:t>，</w:t>
      </w:r>
      <w:r>
        <w:rPr>
          <w:sz w:val="15"/>
        </w:rPr>
        <w:t>Rong-Hui Zheng*</w:t>
      </w:r>
      <w:r>
        <w:rPr>
          <w:rFonts w:ascii="SimSun" w:eastAsia="SimSun" w:hint="eastAsia"/>
          <w:sz w:val="15"/>
        </w:rPr>
        <w:t>（</w:t>
      </w:r>
      <w:r>
        <w:rPr>
          <w:sz w:val="15"/>
        </w:rPr>
        <w:t>2021</w:t>
      </w:r>
      <w:r>
        <w:rPr>
          <w:rFonts w:ascii="SimSun" w:eastAsia="SimSun" w:hint="eastAsia"/>
          <w:sz w:val="15"/>
        </w:rPr>
        <w:t>）</w:t>
      </w:r>
      <w:r>
        <w:rPr>
          <w:sz w:val="15"/>
        </w:rPr>
        <w:t>Clinical value of docetaxel plus</w:t>
      </w:r>
      <w:r>
        <w:rPr>
          <w:spacing w:val="1"/>
          <w:sz w:val="15"/>
        </w:rPr>
        <w:t> </w:t>
      </w:r>
      <w:r>
        <w:rPr>
          <w:sz w:val="15"/>
        </w:rPr>
        <w:t>cisplatin (TP) induction chemotherapy followed by TP concurrent</w:t>
      </w:r>
      <w:r>
        <w:rPr>
          <w:spacing w:val="1"/>
          <w:sz w:val="15"/>
        </w:rPr>
        <w:t> </w:t>
      </w:r>
      <w:r>
        <w:rPr>
          <w:sz w:val="15"/>
        </w:rPr>
        <w:t>chemoradiotherapy in locoregionally advanced nasopharyngeal carcinoma.</w:t>
      </w:r>
      <w:r>
        <w:rPr>
          <w:spacing w:val="-31"/>
          <w:sz w:val="15"/>
        </w:rPr>
        <w:t> </w:t>
      </w:r>
      <w:r>
        <w:rPr>
          <w:sz w:val="15"/>
        </w:rPr>
        <w:t>Journal</w:t>
      </w:r>
      <w:r>
        <w:rPr>
          <w:spacing w:val="-3"/>
          <w:sz w:val="15"/>
        </w:rPr>
        <w:t> </w:t>
      </w:r>
      <w:r>
        <w:rPr>
          <w:sz w:val="15"/>
        </w:rPr>
        <w:t>of</w:t>
      </w:r>
      <w:r>
        <w:rPr>
          <w:spacing w:val="-1"/>
          <w:sz w:val="15"/>
        </w:rPr>
        <w:t> </w:t>
      </w:r>
      <w:r>
        <w:rPr>
          <w:sz w:val="15"/>
        </w:rPr>
        <w:t>Cancer</w:t>
      </w:r>
      <w:r>
        <w:rPr>
          <w:spacing w:val="-1"/>
          <w:sz w:val="15"/>
        </w:rPr>
        <w:t> </w:t>
      </w:r>
      <w:r>
        <w:rPr>
          <w:sz w:val="15"/>
        </w:rPr>
        <w:t>12:18-27.</w:t>
      </w:r>
    </w:p>
    <w:p>
      <w:pPr>
        <w:pStyle w:val="ListParagraph"/>
        <w:numPr>
          <w:ilvl w:val="0"/>
          <w:numId w:val="1"/>
        </w:numPr>
        <w:tabs>
          <w:tab w:pos="498" w:val="left" w:leader="none"/>
          <w:tab w:pos="500" w:val="left" w:leader="none"/>
        </w:tabs>
        <w:spacing w:line="240" w:lineRule="auto" w:before="2" w:after="0"/>
        <w:ind w:left="499" w:right="225" w:hanging="360"/>
        <w:jc w:val="left"/>
        <w:rPr>
          <w:sz w:val="15"/>
        </w:rPr>
      </w:pPr>
      <w:r>
        <w:rPr>
          <w:sz w:val="15"/>
        </w:rPr>
        <w:t>Ze-Jiang Zhan, Rong-Hui Zheng*</w:t>
      </w:r>
      <w:r>
        <w:rPr>
          <w:rFonts w:ascii="SimSun" w:eastAsia="SimSun" w:hint="eastAsia"/>
          <w:sz w:val="15"/>
        </w:rPr>
        <w:t>（</w:t>
      </w:r>
      <w:r>
        <w:rPr>
          <w:sz w:val="15"/>
        </w:rPr>
        <w:t>2020</w:t>
      </w:r>
      <w:r>
        <w:rPr>
          <w:rFonts w:ascii="SimSun" w:eastAsia="SimSun" w:hint="eastAsia"/>
          <w:sz w:val="15"/>
        </w:rPr>
        <w:t>）</w:t>
      </w:r>
      <w:r>
        <w:rPr>
          <w:sz w:val="15"/>
        </w:rPr>
        <w:t>Clinical value of nedaplatin-based</w:t>
      </w:r>
      <w:r>
        <w:rPr>
          <w:spacing w:val="1"/>
          <w:sz w:val="15"/>
        </w:rPr>
        <w:t> </w:t>
      </w:r>
      <w:r>
        <w:rPr>
          <w:sz w:val="15"/>
        </w:rPr>
        <w:t>chemotherapy combined with radiotherapy for locoregional advanced</w:t>
      </w:r>
      <w:r>
        <w:rPr>
          <w:spacing w:val="1"/>
          <w:sz w:val="15"/>
        </w:rPr>
        <w:t> </w:t>
      </w:r>
      <w:r>
        <w:rPr>
          <w:sz w:val="15"/>
        </w:rPr>
        <w:t>nasopharyngeal carcinoma: a retrospective, propensity score-matched analysis.</w:t>
      </w:r>
      <w:r>
        <w:rPr>
          <w:spacing w:val="-31"/>
          <w:sz w:val="15"/>
        </w:rPr>
        <w:t> </w:t>
      </w:r>
      <w:r>
        <w:rPr>
          <w:sz w:val="15"/>
        </w:rPr>
        <w:t>Journal</w:t>
      </w:r>
      <w:r>
        <w:rPr>
          <w:spacing w:val="-3"/>
          <w:sz w:val="15"/>
        </w:rPr>
        <w:t> </w:t>
      </w:r>
      <w:r>
        <w:rPr>
          <w:sz w:val="15"/>
        </w:rPr>
        <w:t>of</w:t>
      </w:r>
      <w:r>
        <w:rPr>
          <w:spacing w:val="-1"/>
          <w:sz w:val="15"/>
        </w:rPr>
        <w:t> </w:t>
      </w:r>
      <w:r>
        <w:rPr>
          <w:sz w:val="15"/>
        </w:rPr>
        <w:t>Cancer</w:t>
      </w:r>
      <w:r>
        <w:rPr>
          <w:spacing w:val="-1"/>
          <w:sz w:val="15"/>
        </w:rPr>
        <w:t> </w:t>
      </w:r>
      <w:r>
        <w:rPr>
          <w:sz w:val="15"/>
        </w:rPr>
        <w:t>11:6782-6789.</w:t>
      </w:r>
    </w:p>
    <w:p>
      <w:pPr>
        <w:spacing w:after="0" w:line="240" w:lineRule="auto"/>
        <w:jc w:val="left"/>
        <w:rPr>
          <w:sz w:val="15"/>
        </w:rPr>
        <w:sectPr>
          <w:type w:val="continuous"/>
          <w:pgSz w:w="11920" w:h="16850"/>
          <w:pgMar w:top="920" w:bottom="280" w:left="500" w:right="500"/>
          <w:cols w:num="2" w:equalWidth="0">
            <w:col w:w="5294" w:space="40"/>
            <w:col w:w="5586"/>
          </w:cols>
        </w:sect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1" w:after="1"/>
        <w:rPr>
          <w:rFonts w:ascii="Calibri"/>
          <w:sz w:val="14"/>
        </w:rPr>
      </w:pPr>
    </w:p>
    <w:p>
      <w:pPr>
        <w:pStyle w:val="BodyText"/>
        <w:spacing w:line="40" w:lineRule="exact"/>
        <w:ind w:left="2324"/>
        <w:rPr>
          <w:rFonts w:ascii="Calibri"/>
          <w:sz w:val="4"/>
        </w:rPr>
      </w:pPr>
      <w:r>
        <w:rPr>
          <w:rFonts w:ascii="Calibri"/>
          <w:position w:val="0"/>
          <w:sz w:val="4"/>
        </w:rPr>
        <w:pict>
          <v:group style="width:311.05pt;height:2pt;mso-position-horizontal-relative:char;mso-position-vertical-relative:line" coordorigin="0,0" coordsize="6221,40">
            <v:line style="position:absolute" from="0,20" to="6221,20" stroked="true" strokeweight="2pt" strokecolor="#004080">
              <v:stroke dashstyle="solid"/>
            </v:line>
          </v:group>
        </w:pict>
      </w:r>
      <w:r>
        <w:rPr>
          <w:rFonts w:ascii="Calibri"/>
          <w:position w:val="0"/>
          <w:sz w:val="4"/>
        </w:rPr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7"/>
        <w:rPr>
          <w:rFonts w:ascii="Calibri"/>
          <w:sz w:val="24"/>
        </w:rPr>
      </w:pPr>
    </w:p>
    <w:p>
      <w:pPr>
        <w:spacing w:after="0"/>
        <w:rPr>
          <w:rFonts w:ascii="Calibri"/>
          <w:sz w:val="24"/>
        </w:rPr>
        <w:sectPr>
          <w:type w:val="continuous"/>
          <w:pgSz w:w="11920" w:h="16850"/>
          <w:pgMar w:top="920" w:bottom="280" w:left="500" w:right="500"/>
        </w:sectPr>
      </w:pPr>
    </w:p>
    <w:p>
      <w:pPr>
        <w:pStyle w:val="BodyText"/>
        <w:spacing w:before="3"/>
        <w:rPr>
          <w:rFonts w:ascii="Calibri"/>
          <w:sz w:val="28"/>
        </w:rPr>
      </w:pPr>
    </w:p>
    <w:p>
      <w:pPr>
        <w:pStyle w:val="BodyText"/>
        <w:ind w:left="119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933259</wp:posOffset>
            </wp:positionH>
            <wp:positionV relativeFrom="paragraph">
              <wp:posOffset>-653263</wp:posOffset>
            </wp:positionV>
            <wp:extent cx="627913" cy="622935"/>
            <wp:effectExtent l="0" t="0" r="0" b="0"/>
            <wp:wrapNone/>
            <wp:docPr id="1" name="image2.jpeg" descr="dummy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13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Rong-Hui</w:t>
      </w:r>
      <w:r>
        <w:rPr>
          <w:spacing w:val="-4"/>
        </w:rPr>
        <w:t> </w:t>
      </w:r>
      <w:r>
        <w:rPr/>
        <w:t>Zheng</w:t>
      </w:r>
    </w:p>
    <w:p>
      <w:pPr>
        <w:pStyle w:val="Heading1"/>
        <w:spacing w:before="94"/>
        <w:ind w:left="119"/>
        <w:rPr>
          <w:rFonts w:ascii="Arial MT"/>
        </w:rPr>
      </w:pPr>
      <w:r>
        <w:rPr/>
        <w:br w:type="column"/>
      </w:r>
      <w:r>
        <w:rPr>
          <w:rFonts w:ascii="Arial MT"/>
          <w:color w:val="BE5A13"/>
        </w:rPr>
        <w:t>Biography</w:t>
      </w:r>
      <w:r>
        <w:rPr>
          <w:rFonts w:ascii="Arial MT"/>
          <w:color w:val="BE5A13"/>
          <w:spacing w:val="-1"/>
        </w:rPr>
        <w:t> </w:t>
      </w:r>
      <w:r>
        <w:rPr>
          <w:rFonts w:ascii="Arial MT"/>
          <w:color w:val="BE5A13"/>
        </w:rPr>
        <w:t>(150</w:t>
      </w:r>
      <w:r>
        <w:rPr>
          <w:rFonts w:ascii="Arial MT"/>
          <w:color w:val="BE5A13"/>
          <w:spacing w:val="-6"/>
        </w:rPr>
        <w:t> </w:t>
      </w:r>
      <w:r>
        <w:rPr>
          <w:rFonts w:ascii="Arial MT"/>
          <w:color w:val="BE5A13"/>
        </w:rPr>
        <w:t>word</w:t>
      </w:r>
      <w:r>
        <w:rPr>
          <w:rFonts w:ascii="Arial MT"/>
          <w:color w:val="BE5A13"/>
          <w:spacing w:val="-1"/>
        </w:rPr>
        <w:t> </w:t>
      </w:r>
      <w:r>
        <w:rPr>
          <w:rFonts w:ascii="Arial MT"/>
          <w:color w:val="BE5A13"/>
        </w:rPr>
        <w:t>limit)</w:t>
      </w:r>
    </w:p>
    <w:p>
      <w:pPr>
        <w:spacing w:after="0"/>
        <w:rPr>
          <w:rFonts w:ascii="Arial MT"/>
        </w:rPr>
        <w:sectPr>
          <w:type w:val="continuous"/>
          <w:pgSz w:w="11920" w:h="16850"/>
          <w:pgMar w:top="920" w:bottom="280" w:left="500" w:right="500"/>
          <w:cols w:num="2" w:equalWidth="0">
            <w:col w:w="1482" w:space="357"/>
            <w:col w:w="9081"/>
          </w:cols>
        </w:sectPr>
      </w:pPr>
    </w:p>
    <w:p>
      <w:pPr>
        <w:pStyle w:val="BodyText"/>
        <w:spacing w:before="8"/>
        <w:rPr>
          <w:sz w:val="9"/>
        </w:rPr>
      </w:pPr>
    </w:p>
    <w:p>
      <w:pPr>
        <w:pStyle w:val="BodyText"/>
        <w:spacing w:line="235" w:lineRule="auto" w:before="98"/>
        <w:ind w:left="119"/>
      </w:pPr>
      <w:r>
        <w:rPr/>
        <w:pict>
          <v:group style="position:absolute;margin-left:465.75pt;margin-top:-84.456947pt;width:95.5pt;height:71pt;mso-position-horizontal-relative:page;mso-position-vertical-relative:paragraph;z-index:15730688" coordorigin="9315,-1689" coordsize="1910,1420">
            <v:shape style="position:absolute;left:9340;top:-1665;width:1860;height:1370" coordorigin="9340,-1664" coordsize="1860,1370" path="m9340,-1436l9352,-1508,9384,-1571,9433,-1620,9496,-1653,9568,-1664,10972,-1664,11044,-1653,11107,-1620,11156,-1571,11188,-1508,11200,-1436,11200,-523,11188,-450,11156,-388,11107,-338,11044,-306,10972,-294,9568,-294,9496,-306,9433,-338,9384,-388,9352,-450,9340,-523,9340,-1436xe" filled="false" stroked="true" strokeweight="2.5pt" strokecolor="#9bba58">
              <v:path arrowok="t"/>
              <v:stroke dashstyle="solid"/>
            </v:shape>
            <v:shape style="position:absolute;left:9576;top:-1501;width:1370;height:1042" type="#_x0000_t75" stroked="false">
              <v:imagedata r:id="rId7" o:title=""/>
            </v:shape>
            <w10:wrap type="none"/>
          </v:group>
        </w:pict>
      </w:r>
      <w:r>
        <w:rPr/>
        <w:t>MD,</w:t>
      </w:r>
      <w:r>
        <w:rPr>
          <w:spacing w:val="23"/>
        </w:rPr>
        <w:t> </w:t>
      </w:r>
      <w:r>
        <w:rPr/>
        <w:t>Chief</w:t>
      </w:r>
      <w:r>
        <w:rPr>
          <w:spacing w:val="24"/>
        </w:rPr>
        <w:t> </w:t>
      </w:r>
      <w:r>
        <w:rPr/>
        <w:t>Physician,</w:t>
      </w:r>
      <w:r>
        <w:rPr>
          <w:spacing w:val="24"/>
        </w:rPr>
        <w:t> </w:t>
      </w:r>
      <w:r>
        <w:rPr/>
        <w:t>Deputy</w:t>
      </w:r>
      <w:r>
        <w:rPr>
          <w:spacing w:val="22"/>
        </w:rPr>
        <w:t> </w:t>
      </w:r>
      <w:r>
        <w:rPr/>
        <w:t>Director</w:t>
      </w:r>
      <w:r>
        <w:rPr>
          <w:spacing w:val="24"/>
        </w:rPr>
        <w:t> </w:t>
      </w:r>
      <w:r>
        <w:rPr/>
        <w:t>of</w:t>
      </w:r>
      <w:r>
        <w:rPr>
          <w:spacing w:val="24"/>
        </w:rPr>
        <w:t> </w:t>
      </w:r>
      <w:r>
        <w:rPr/>
        <w:t>Radiotherapy</w:t>
      </w:r>
      <w:r>
        <w:rPr>
          <w:spacing w:val="29"/>
        </w:rPr>
        <w:t> </w:t>
      </w:r>
      <w:r>
        <w:rPr/>
        <w:t>Department</w:t>
      </w:r>
      <w:r>
        <w:rPr>
          <w:spacing w:val="25"/>
        </w:rPr>
        <w:t> </w:t>
      </w:r>
      <w:r>
        <w:rPr/>
        <w:t>of</w:t>
      </w:r>
      <w:r>
        <w:rPr>
          <w:spacing w:val="24"/>
        </w:rPr>
        <w:t> </w:t>
      </w:r>
      <w:r>
        <w:rPr/>
        <w:t>Affiliated</w:t>
      </w:r>
      <w:r>
        <w:rPr>
          <w:spacing w:val="25"/>
        </w:rPr>
        <w:t> </w:t>
      </w:r>
      <w:r>
        <w:rPr/>
        <w:t>Cancer</w:t>
      </w:r>
      <w:r>
        <w:rPr>
          <w:spacing w:val="21"/>
        </w:rPr>
        <w:t> </w:t>
      </w:r>
      <w:r>
        <w:rPr/>
        <w:t>Hospital</w:t>
      </w:r>
      <w:r>
        <w:rPr>
          <w:spacing w:val="24"/>
        </w:rPr>
        <w:t> </w:t>
      </w:r>
      <w:r>
        <w:rPr/>
        <w:t>&amp;</w:t>
      </w:r>
      <w:r>
        <w:rPr>
          <w:spacing w:val="23"/>
        </w:rPr>
        <w:t> </w:t>
      </w:r>
      <w:r>
        <w:rPr/>
        <w:t>Institute</w:t>
      </w:r>
      <w:r>
        <w:rPr>
          <w:spacing w:val="24"/>
        </w:rPr>
        <w:t> </w:t>
      </w:r>
      <w:r>
        <w:rPr/>
        <w:t>of</w:t>
      </w:r>
      <w:r>
        <w:rPr>
          <w:spacing w:val="25"/>
        </w:rPr>
        <w:t> </w:t>
      </w:r>
      <w:r>
        <w:rPr/>
        <w:t>Guangzhou</w:t>
      </w:r>
      <w:r>
        <w:rPr>
          <w:spacing w:val="24"/>
        </w:rPr>
        <w:t> </w:t>
      </w:r>
      <w:r>
        <w:rPr/>
        <w:t>Medical</w:t>
      </w:r>
      <w:r>
        <w:rPr>
          <w:spacing w:val="1"/>
        </w:rPr>
        <w:t> </w:t>
      </w:r>
      <w:r>
        <w:rPr/>
        <w:t>University(and</w:t>
      </w:r>
      <w:r>
        <w:rPr>
          <w:spacing w:val="-2"/>
        </w:rPr>
        <w:t> </w:t>
      </w:r>
      <w:r>
        <w:rPr/>
        <w:t>leader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Section</w:t>
      </w:r>
      <w:r>
        <w:rPr>
          <w:spacing w:val="-1"/>
        </w:rPr>
        <w:t> </w:t>
      </w:r>
      <w:r>
        <w:rPr/>
        <w:t>2</w:t>
      </w:r>
      <w:r>
        <w:rPr>
          <w:rFonts w:ascii="SimSun" w:hAnsi="SimSun" w:eastAsia="SimSun" w:hint="eastAsia"/>
        </w:rPr>
        <w:t>）</w:t>
      </w:r>
      <w:r>
        <w:rPr/>
        <w:t>,master’s</w:t>
      </w:r>
      <w:r>
        <w:rPr>
          <w:spacing w:val="-1"/>
        </w:rPr>
        <w:t> </w:t>
      </w:r>
      <w:r>
        <w:rPr/>
        <w:t>supervisor,</w:t>
      </w:r>
      <w:r>
        <w:rPr>
          <w:spacing w:val="-9"/>
        </w:rPr>
        <w:t> </w:t>
      </w:r>
      <w:r>
        <w:rPr/>
        <w:t>Academic</w:t>
      </w:r>
      <w:r>
        <w:rPr>
          <w:spacing w:val="-3"/>
        </w:rPr>
        <w:t> </w:t>
      </w:r>
      <w:r>
        <w:rPr/>
        <w:t>Leader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Head</w:t>
      </w:r>
      <w:r>
        <w:rPr>
          <w:spacing w:val="-3"/>
        </w:rPr>
        <w:t> </w:t>
      </w:r>
      <w:r>
        <w:rPr/>
        <w:t>and</w:t>
      </w:r>
      <w:r>
        <w:rPr>
          <w:spacing w:val="-1"/>
        </w:rPr>
        <w:t> </w:t>
      </w:r>
      <w:r>
        <w:rPr/>
        <w:t>Neck cancer</w:t>
      </w:r>
      <w:r>
        <w:rPr>
          <w:spacing w:val="-2"/>
        </w:rPr>
        <w:t> </w:t>
      </w:r>
      <w:r>
        <w:rPr/>
        <w:t>society.</w:t>
      </w:r>
    </w:p>
    <w:p>
      <w:pPr>
        <w:pStyle w:val="BodyText"/>
        <w:spacing w:before="19"/>
        <w:ind w:left="119"/>
      </w:pPr>
      <w:r>
        <w:rPr/>
        <w:t>Director</w:t>
      </w:r>
      <w:r>
        <w:rPr>
          <w:spacing w:val="-7"/>
        </w:rPr>
        <w:t> </w:t>
      </w:r>
      <w:r>
        <w:rPr/>
        <w:t>of</w:t>
      </w:r>
      <w:r>
        <w:rPr>
          <w:spacing w:val="-3"/>
        </w:rPr>
        <w:t> </w:t>
      </w:r>
      <w:r>
        <w:rPr/>
        <w:t>National</w:t>
      </w:r>
      <w:r>
        <w:rPr>
          <w:spacing w:val="-4"/>
        </w:rPr>
        <w:t> </w:t>
      </w:r>
      <w:r>
        <w:rPr/>
        <w:t>Standardized</w:t>
      </w:r>
      <w:r>
        <w:rPr>
          <w:spacing w:val="-4"/>
        </w:rPr>
        <w:t> </w:t>
      </w:r>
      <w:r>
        <w:rPr/>
        <w:t>Resident</w:t>
      </w:r>
      <w:r>
        <w:rPr>
          <w:spacing w:val="-3"/>
        </w:rPr>
        <w:t> </w:t>
      </w:r>
      <w:r>
        <w:rPr/>
        <w:t>Doctor</w:t>
      </w:r>
      <w:r>
        <w:rPr>
          <w:spacing w:val="-8"/>
        </w:rPr>
        <w:t> </w:t>
      </w:r>
      <w:r>
        <w:rPr/>
        <w:t>Training</w:t>
      </w:r>
      <w:r>
        <w:rPr>
          <w:spacing w:val="-6"/>
        </w:rPr>
        <w:t> </w:t>
      </w:r>
      <w:r>
        <w:rPr/>
        <w:t>of</w:t>
      </w:r>
      <w:r>
        <w:rPr>
          <w:spacing w:val="-5"/>
        </w:rPr>
        <w:t> </w:t>
      </w:r>
      <w:r>
        <w:rPr/>
        <w:t>Radiation-Oncology</w:t>
      </w:r>
      <w:r>
        <w:rPr>
          <w:spacing w:val="-6"/>
        </w:rPr>
        <w:t> </w:t>
      </w:r>
      <w:r>
        <w:rPr/>
        <w:t>Professional</w:t>
      </w:r>
      <w:r>
        <w:rPr>
          <w:spacing w:val="-3"/>
        </w:rPr>
        <w:t> </w:t>
      </w:r>
      <w:r>
        <w:rPr/>
        <w:t>Base.</w:t>
      </w:r>
    </w:p>
    <w:p>
      <w:pPr>
        <w:pStyle w:val="BodyText"/>
        <w:spacing w:before="2"/>
        <w:ind w:left="119" w:right="1555"/>
      </w:pPr>
      <w:r>
        <w:rPr/>
        <w:t>Executive Deputy Director of Popularization education Base of Nasopharyngeal Carcinoma in Guangdong Province.</w:t>
      </w:r>
      <w:r>
        <w:rPr>
          <w:spacing w:val="-47"/>
        </w:rPr>
        <w:t> </w:t>
      </w:r>
      <w:r>
        <w:rPr/>
        <w:t>Chairman of the Head and Neck Cancer Branch of Guangdong -Provincial Health-Science Promotion Association.</w:t>
      </w:r>
      <w:r>
        <w:rPr>
          <w:spacing w:val="1"/>
        </w:rPr>
        <w:t> </w:t>
      </w:r>
      <w:r>
        <w:rPr/>
        <w:t>Committee</w:t>
      </w:r>
      <w:r>
        <w:rPr>
          <w:spacing w:val="-1"/>
        </w:rPr>
        <w:t> </w:t>
      </w:r>
      <w:r>
        <w:rPr/>
        <w:t>member of</w:t>
      </w:r>
      <w:r>
        <w:rPr>
          <w:spacing w:val="-1"/>
        </w:rPr>
        <w:t> </w:t>
      </w:r>
      <w:r>
        <w:rPr/>
        <w:t>Cancer</w:t>
      </w:r>
      <w:r>
        <w:rPr>
          <w:spacing w:val="-3"/>
        </w:rPr>
        <w:t> </w:t>
      </w:r>
      <w:r>
        <w:rPr/>
        <w:t>Hyperthermia</w:t>
      </w:r>
      <w:r>
        <w:rPr>
          <w:spacing w:val="-1"/>
        </w:rPr>
        <w:t> </w:t>
      </w:r>
      <w:r>
        <w:rPr/>
        <w:t>Branch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China</w:t>
      </w:r>
      <w:r>
        <w:rPr>
          <w:spacing w:val="-9"/>
        </w:rPr>
        <w:t> </w:t>
      </w:r>
      <w:r>
        <w:rPr/>
        <w:t>Anti-Cancer</w:t>
      </w:r>
      <w:r>
        <w:rPr>
          <w:spacing w:val="-10"/>
        </w:rPr>
        <w:t> </w:t>
      </w:r>
      <w:r>
        <w:rPr/>
        <w:t>Association.</w:t>
      </w:r>
    </w:p>
    <w:p>
      <w:pPr>
        <w:pStyle w:val="BodyText"/>
        <w:ind w:left="119" w:right="410"/>
      </w:pPr>
      <w:r>
        <w:rPr>
          <w:spacing w:val="-1"/>
        </w:rPr>
        <w:t>Committee</w:t>
      </w:r>
      <w:r>
        <w:rPr>
          <w:spacing w:val="-4"/>
        </w:rPr>
        <w:t> </w:t>
      </w:r>
      <w:r>
        <w:rPr>
          <w:spacing w:val="-1"/>
        </w:rPr>
        <w:t>member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Hyperthermia</w:t>
      </w:r>
      <w:r>
        <w:rPr>
          <w:spacing w:val="-4"/>
        </w:rPr>
        <w:t> </w:t>
      </w:r>
      <w:r>
        <w:rPr/>
        <w:t>Branch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China-Japan</w:t>
      </w:r>
      <w:r>
        <w:rPr>
          <w:spacing w:val="-6"/>
        </w:rPr>
        <w:t> </w:t>
      </w:r>
      <w:r>
        <w:rPr/>
        <w:t>Medical</w:t>
      </w:r>
      <w:r>
        <w:rPr>
          <w:spacing w:val="-4"/>
        </w:rPr>
        <w:t> </w:t>
      </w:r>
      <w:r>
        <w:rPr/>
        <w:t>Science</w:t>
      </w:r>
      <w:r>
        <w:rPr>
          <w:spacing w:val="-4"/>
        </w:rPr>
        <w:t> </w:t>
      </w:r>
      <w:r>
        <w:rPr/>
        <w:t>and</w:t>
      </w:r>
      <w:r>
        <w:rPr>
          <w:spacing w:val="-8"/>
        </w:rPr>
        <w:t> </w:t>
      </w:r>
      <w:r>
        <w:rPr/>
        <w:t>Technology</w:t>
      </w:r>
      <w:r>
        <w:rPr>
          <w:spacing w:val="-3"/>
        </w:rPr>
        <w:t> </w:t>
      </w:r>
      <w:r>
        <w:rPr/>
        <w:t>Communication</w:t>
      </w:r>
      <w:r>
        <w:rPr>
          <w:spacing w:val="-12"/>
        </w:rPr>
        <w:t> </w:t>
      </w:r>
      <w:r>
        <w:rPr/>
        <w:t>Association.</w:t>
      </w:r>
      <w:r>
        <w:rPr>
          <w:spacing w:val="1"/>
        </w:rPr>
        <w:t> </w:t>
      </w:r>
      <w:r>
        <w:rPr/>
        <w:t>Chairman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Radiation Oncology</w:t>
      </w:r>
      <w:r>
        <w:rPr>
          <w:spacing w:val="1"/>
        </w:rPr>
        <w:t> </w:t>
      </w:r>
      <w:r>
        <w:rPr/>
        <w:t>Branch</w:t>
      </w:r>
      <w:r>
        <w:rPr>
          <w:spacing w:val="-1"/>
        </w:rPr>
        <w:t> </w:t>
      </w:r>
      <w:r>
        <w:rPr/>
        <w:t>of Guangzhou</w:t>
      </w:r>
      <w:r>
        <w:rPr>
          <w:spacing w:val="-2"/>
        </w:rPr>
        <w:t> </w:t>
      </w:r>
      <w:r>
        <w:rPr/>
        <w:t>Medical</w:t>
      </w:r>
      <w:r>
        <w:rPr>
          <w:spacing w:val="-10"/>
        </w:rPr>
        <w:t> </w:t>
      </w:r>
      <w:r>
        <w:rPr/>
        <w:t>Association.</w:t>
      </w:r>
    </w:p>
    <w:p>
      <w:pPr>
        <w:pStyle w:val="BodyText"/>
        <w:ind w:left="119"/>
      </w:pPr>
      <w:r>
        <w:rPr/>
        <w:t>Research</w:t>
      </w:r>
      <w:r>
        <w:rPr>
          <w:spacing w:val="-3"/>
        </w:rPr>
        <w:t> </w:t>
      </w:r>
      <w:r>
        <w:rPr/>
        <w:t>focus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comprehensive</w:t>
      </w:r>
      <w:r>
        <w:rPr>
          <w:spacing w:val="-3"/>
        </w:rPr>
        <w:t> </w:t>
      </w:r>
      <w:r>
        <w:rPr/>
        <w:t>treatment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head</w:t>
      </w:r>
      <w:r>
        <w:rPr>
          <w:spacing w:val="-2"/>
        </w:rPr>
        <w:t> </w:t>
      </w:r>
      <w:r>
        <w:rPr/>
        <w:t>and</w:t>
      </w:r>
      <w:r>
        <w:rPr>
          <w:spacing w:val="-3"/>
        </w:rPr>
        <w:t> </w:t>
      </w:r>
      <w:r>
        <w:rPr/>
        <w:t>neck</w:t>
      </w:r>
      <w:r>
        <w:rPr>
          <w:spacing w:val="-3"/>
        </w:rPr>
        <w:t> </w:t>
      </w:r>
      <w:r>
        <w:rPr/>
        <w:t>cancer(i.e.</w:t>
      </w:r>
      <w:r>
        <w:rPr>
          <w:spacing w:val="-2"/>
        </w:rPr>
        <w:t> </w:t>
      </w:r>
      <w:r>
        <w:rPr/>
        <w:t>in</w:t>
      </w:r>
      <w:r>
        <w:rPr>
          <w:spacing w:val="-3"/>
        </w:rPr>
        <w:t> </w:t>
      </w:r>
      <w:r>
        <w:rPr/>
        <w:t>radiotherapy)</w:t>
      </w:r>
      <w:r>
        <w:rPr>
          <w:spacing w:val="-4"/>
        </w:rPr>
        <w:t> </w:t>
      </w:r>
      <w:r>
        <w:rPr/>
        <w:t>.</w:t>
      </w:r>
    </w:p>
    <w:p>
      <w:pPr>
        <w:pStyle w:val="BodyText"/>
      </w:pPr>
    </w:p>
    <w:p>
      <w:pPr>
        <w:pStyle w:val="BodyText"/>
        <w:spacing w:before="1"/>
        <w:ind w:left="4133" w:right="4116"/>
        <w:jc w:val="center"/>
        <w:rPr>
          <w:rFonts w:ascii="Microsoft Sans Serif"/>
        </w:rPr>
      </w:pPr>
      <w:r>
        <w:rPr/>
        <w:pict>
          <v:shape style="position:absolute;margin-left:162.100006pt;margin-top:17.215897pt;width:271.05pt;height:.1pt;mso-position-horizontal-relative:page;mso-position-vertical-relative:paragraph;z-index:-15727616;mso-wrap-distance-left:0;mso-wrap-distance-right:0" coordorigin="3242,344" coordsize="5421,0" path="m3242,344l8663,344e" filled="false" stroked="true" strokeweight=".5pt" strokecolor="#004080">
            <v:path arrowok="t"/>
            <v:stroke dashstyle="solid"/>
            <w10:wrap type="topAndBottom"/>
          </v:shape>
        </w:pict>
      </w:r>
      <w:r>
        <w:rPr>
          <w:spacing w:val="-1"/>
          <w:w w:val="90"/>
        </w:rPr>
        <w:t>Email:</w:t>
      </w:r>
      <w:r>
        <w:rPr>
          <w:spacing w:val="1"/>
          <w:w w:val="90"/>
        </w:rPr>
        <w:t> </w:t>
      </w:r>
      <w:hyperlink r:id="rId8">
        <w:r>
          <w:rPr>
            <w:rFonts w:ascii="Microsoft Sans Serif"/>
            <w:color w:val="4F81BC"/>
            <w:spacing w:val="-1"/>
            <w:w w:val="90"/>
            <w:u w:val="single" w:color="4F81BC"/>
          </w:rPr>
          <w:t>zhengronghui@gzhmu.edu.cn</w:t>
        </w:r>
      </w:hyperlink>
    </w:p>
    <w:p>
      <w:pPr>
        <w:spacing w:before="24"/>
        <w:ind w:left="220" w:right="0" w:firstLine="0"/>
        <w:jc w:val="left"/>
        <w:rPr>
          <w:rFonts w:ascii="Cambria Math"/>
          <w:sz w:val="20"/>
        </w:rPr>
      </w:pPr>
      <w:r>
        <w:rPr>
          <w:rFonts w:ascii="Cambria Math"/>
          <w:sz w:val="20"/>
        </w:rPr>
        <w:t>Notes/Comments:</w:t>
      </w:r>
    </w:p>
    <w:p>
      <w:pPr>
        <w:spacing w:after="0"/>
        <w:jc w:val="left"/>
        <w:rPr>
          <w:rFonts w:ascii="Cambria Math"/>
          <w:sz w:val="20"/>
        </w:rPr>
        <w:sectPr>
          <w:type w:val="continuous"/>
          <w:pgSz w:w="11920" w:h="16850"/>
          <w:pgMar w:top="920" w:bottom="280" w:left="500" w:right="500"/>
        </w:sectPr>
      </w:pPr>
    </w:p>
    <w:p>
      <w:pPr>
        <w:spacing w:before="63"/>
        <w:ind w:left="10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w w:val="85"/>
          <w:sz w:val="22"/>
        </w:rPr>
        <w:t>Presenting</w:t>
      </w:r>
      <w:r>
        <w:rPr>
          <w:rFonts w:ascii="Arial"/>
          <w:b/>
          <w:spacing w:val="7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author</w:t>
      </w:r>
      <w:r>
        <w:rPr>
          <w:rFonts w:ascii="Arial"/>
          <w:b/>
          <w:spacing w:val="9"/>
          <w:w w:val="85"/>
          <w:sz w:val="22"/>
        </w:rPr>
        <w:t> </w:t>
      </w:r>
      <w:r>
        <w:rPr>
          <w:rFonts w:ascii="Arial"/>
          <w:b/>
          <w:w w:val="85"/>
          <w:sz w:val="22"/>
        </w:rPr>
        <w:t>details</w:t>
      </w:r>
    </w:p>
    <w:p>
      <w:pPr>
        <w:pStyle w:val="Heading1"/>
        <w:spacing w:line="248" w:lineRule="exact"/>
        <w:rPr>
          <w:rFonts w:ascii="Arial MT"/>
        </w:rPr>
      </w:pPr>
      <w:r>
        <w:rPr>
          <w:w w:val="95"/>
        </w:rPr>
        <w:t>Full</w:t>
      </w:r>
      <w:r>
        <w:rPr>
          <w:spacing w:val="-5"/>
          <w:w w:val="95"/>
        </w:rPr>
        <w:t> </w:t>
      </w:r>
      <w:r>
        <w:rPr>
          <w:w w:val="95"/>
        </w:rPr>
        <w:t>name:</w:t>
      </w:r>
      <w:r>
        <w:rPr>
          <w:spacing w:val="-5"/>
          <w:w w:val="95"/>
        </w:rPr>
        <w:t> </w:t>
      </w:r>
      <w:r>
        <w:rPr>
          <w:rFonts w:ascii="Arial MT"/>
          <w:w w:val="95"/>
        </w:rPr>
        <w:t>Rong-Hui</w:t>
      </w:r>
      <w:r>
        <w:rPr>
          <w:rFonts w:ascii="Arial MT"/>
          <w:spacing w:val="-5"/>
          <w:w w:val="95"/>
        </w:rPr>
        <w:t> </w:t>
      </w:r>
      <w:r>
        <w:rPr>
          <w:rFonts w:ascii="Arial MT"/>
          <w:w w:val="95"/>
        </w:rPr>
        <w:t>Zheng</w:t>
      </w:r>
    </w:p>
    <w:p>
      <w:pPr>
        <w:spacing w:line="240" w:lineRule="exact" w:before="0"/>
        <w:ind w:left="100" w:right="0" w:firstLine="0"/>
        <w:jc w:val="left"/>
        <w:rPr>
          <w:rFonts w:ascii="Microsoft Sans Serif"/>
          <w:sz w:val="22"/>
        </w:rPr>
      </w:pPr>
      <w:r>
        <w:rPr>
          <w:rFonts w:ascii="Microsoft Sans Serif"/>
          <w:w w:val="90"/>
          <w:sz w:val="22"/>
        </w:rPr>
        <w:t>Contact</w:t>
      </w:r>
      <w:r>
        <w:rPr>
          <w:rFonts w:ascii="Microsoft Sans Serif"/>
          <w:spacing w:val="36"/>
          <w:w w:val="90"/>
          <w:sz w:val="22"/>
        </w:rPr>
        <w:t> </w:t>
      </w:r>
      <w:r>
        <w:rPr>
          <w:rFonts w:ascii="Microsoft Sans Serif"/>
          <w:w w:val="90"/>
          <w:sz w:val="22"/>
        </w:rPr>
        <w:t>number:15918651199</w:t>
      </w:r>
    </w:p>
    <w:p>
      <w:pPr>
        <w:pStyle w:val="Heading1"/>
        <w:spacing w:line="230" w:lineRule="auto"/>
        <w:ind w:right="4997"/>
      </w:pPr>
      <w:r>
        <w:rPr>
          <w:w w:val="85"/>
        </w:rPr>
        <w:t>Mail</w:t>
      </w:r>
      <w:r>
        <w:rPr>
          <w:spacing w:val="3"/>
          <w:w w:val="85"/>
        </w:rPr>
        <w:t> </w:t>
      </w:r>
      <w:r>
        <w:rPr>
          <w:w w:val="85"/>
        </w:rPr>
        <w:t>id:</w:t>
      </w:r>
      <w:r>
        <w:rPr>
          <w:spacing w:val="4"/>
          <w:w w:val="85"/>
        </w:rPr>
        <w:t> </w:t>
      </w:r>
      <w:hyperlink r:id="rId8">
        <w:r>
          <w:rPr>
            <w:w w:val="85"/>
          </w:rPr>
          <w:t>zhengronghui@gzhmu.edu.cn</w:t>
        </w:r>
      </w:hyperlink>
      <w:r>
        <w:rPr>
          <w:spacing w:val="-47"/>
          <w:w w:val="85"/>
        </w:rPr>
        <w:t> </w:t>
      </w:r>
      <w:r>
        <w:rPr/>
        <w:t>Category:</w:t>
      </w:r>
      <w:r>
        <w:rPr>
          <w:spacing w:val="-13"/>
        </w:rPr>
        <w:t> </w:t>
      </w:r>
      <w:r>
        <w:rPr/>
        <w:t>Oral</w:t>
      </w:r>
      <w:r>
        <w:rPr>
          <w:spacing w:val="-13"/>
        </w:rPr>
        <w:t> </w:t>
      </w:r>
      <w:r>
        <w:rPr/>
        <w:t>presentation</w:t>
      </w:r>
    </w:p>
    <w:sectPr>
      <w:pgSz w:w="12240" w:h="15840"/>
      <w:pgMar w:top="1360" w:bottom="280" w:left="134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Impact">
    <w:altName w:val="Impact"/>
    <w:charset w:val="1"/>
    <w:family w:val="swiss"/>
    <w:pitch w:val="variable"/>
  </w:font>
  <w:font w:name="SimSun">
    <w:altName w:val="SimSu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99" w:hanging="360"/>
        <w:jc w:val="left"/>
      </w:pPr>
      <w:rPr>
        <w:rFonts w:hint="default" w:ascii="Calibri" w:hAnsi="Calibri" w:eastAsia="Calibri" w:cs="Calibri"/>
        <w:w w:val="100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7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5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3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1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8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6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4"/>
      <w:ind w:left="100"/>
      <w:outlineLvl w:val="1"/>
    </w:pPr>
    <w:rPr>
      <w:rFonts w:ascii="Microsoft Sans Serif" w:hAnsi="Microsoft Sans Serif" w:eastAsia="Microsoft Sans Serif" w:cs="Microsoft Sans Serif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5"/>
      <w:ind w:left="139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3"/>
      <w:ind w:left="119" w:right="410"/>
    </w:pPr>
    <w:rPr>
      <w:rFonts w:ascii="Times New Roman" w:hAnsi="Times New Roman" w:eastAsia="Times New Roman" w:cs="Times New Roman"/>
      <w:b/>
      <w:bCs/>
      <w:sz w:val="30"/>
      <w:szCs w:val="3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499" w:right="18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hyperlink" Target="mailto:zhengronghui@gzhmu.edu.cn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dcterms:created xsi:type="dcterms:W3CDTF">2022-07-28T06:27:51Z</dcterms:created>
  <dcterms:modified xsi:type="dcterms:W3CDTF">2022-07-28T06:27:51Z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2022-07-28T00:00:00Z</vt:filetime>
  </property>
</Properties>
</file>