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258" w:rsidRPr="006803D6" w:rsidRDefault="00526258" w:rsidP="00526258">
      <w:pPr>
        <w:pStyle w:val="NormalWeb"/>
        <w:spacing w:before="0" w:beforeAutospacing="0" w:after="0" w:afterAutospacing="0"/>
        <w:ind w:left="142"/>
        <w:rPr>
          <w:rFonts w:ascii="Minion Pro" w:eastAsia="Times New Roman" w:hAnsi="Minion Pro"/>
          <w:b/>
          <w:color w:val="0070C0"/>
          <w:sz w:val="36"/>
          <w:szCs w:val="36"/>
          <w:lang w:eastAsia="ru-RU"/>
        </w:rPr>
      </w:pPr>
      <w:r w:rsidRPr="00012892">
        <w:rPr>
          <w:rFonts w:ascii="Minion Pro" w:eastAsia="Times New Roman" w:hAnsi="Minion Pro"/>
          <w:b/>
          <w:color w:val="0070C0"/>
          <w:sz w:val="36"/>
          <w:szCs w:val="36"/>
          <w:lang w:eastAsia="ru-RU"/>
        </w:rPr>
        <w:t xml:space="preserve">Features of </w:t>
      </w:r>
      <w:r>
        <w:rPr>
          <w:rFonts w:ascii="Minion Pro" w:eastAsia="Times New Roman" w:hAnsi="Minion Pro"/>
          <w:b/>
          <w:color w:val="0070C0"/>
          <w:sz w:val="36"/>
          <w:szCs w:val="36"/>
          <w:lang w:eastAsia="ru-RU"/>
        </w:rPr>
        <w:t>g</w:t>
      </w:r>
      <w:r w:rsidRPr="008B6CE9">
        <w:rPr>
          <w:rFonts w:ascii="Minion Pro" w:eastAsia="Times New Roman" w:hAnsi="Minion Pro"/>
          <w:b/>
          <w:color w:val="0070C0"/>
          <w:sz w:val="36"/>
          <w:szCs w:val="36"/>
          <w:lang w:eastAsia="ru-RU"/>
        </w:rPr>
        <w:t>as chromatographic-mass spectrometric determination of  </w:t>
      </w:r>
      <w:r w:rsidRPr="008B6CE9">
        <w:rPr>
          <w:rFonts w:ascii="Minion Pro" w:eastAsia="Times New Roman" w:hAnsi="Minion Pro"/>
          <w:b/>
          <w:i/>
          <w:iCs/>
          <w:color w:val="0070C0"/>
          <w:sz w:val="36"/>
          <w:szCs w:val="36"/>
          <w:lang w:eastAsia="ru-RU"/>
        </w:rPr>
        <w:t>o</w:t>
      </w:r>
      <w:r w:rsidRPr="008B6CE9">
        <w:rPr>
          <w:rFonts w:ascii="Minion Pro" w:eastAsia="Times New Roman" w:hAnsi="Minion Pro"/>
          <w:b/>
          <w:color w:val="0070C0"/>
          <w:sz w:val="36"/>
          <w:szCs w:val="36"/>
          <w:lang w:eastAsia="ru-RU"/>
        </w:rPr>
        <w:t>-phthalic</w:t>
      </w:r>
      <w:r w:rsidRPr="00CF1978">
        <w:rPr>
          <w:rFonts w:ascii="Minion Pro" w:eastAsia="Times New Roman" w:hAnsi="Minion Pro"/>
          <w:b/>
          <w:color w:val="0070C0"/>
          <w:sz w:val="36"/>
          <w:szCs w:val="36"/>
          <w:lang w:eastAsia="ru-RU"/>
        </w:rPr>
        <w:t xml:space="preserve"> </w:t>
      </w:r>
      <w:r w:rsidRPr="008B6CE9">
        <w:rPr>
          <w:rFonts w:ascii="Minion Pro" w:eastAsia="Times New Roman" w:hAnsi="Minion Pro"/>
          <w:b/>
          <w:color w:val="0070C0"/>
          <w:sz w:val="36"/>
          <w:szCs w:val="36"/>
          <w:lang w:eastAsia="ru-RU"/>
        </w:rPr>
        <w:t xml:space="preserve"> acid esters in  low alcohol wines coupled with emulsion liquid-phase microextraction preconcentration</w:t>
      </w:r>
    </w:p>
    <w:p w:rsidR="00526258" w:rsidRPr="003F2B35" w:rsidRDefault="00526258" w:rsidP="00526258">
      <w:pPr>
        <w:pStyle w:val="NormalWeb"/>
        <w:spacing w:before="0" w:beforeAutospacing="0" w:after="0" w:afterAutospacing="0" w:line="200" w:lineRule="exact"/>
        <w:ind w:left="142"/>
        <w:rPr>
          <w:rFonts w:ascii="Arial" w:hAnsi="Arial" w:cs="Arial"/>
          <w:sz w:val="18"/>
          <w:szCs w:val="18"/>
        </w:rPr>
      </w:pPr>
    </w:p>
    <w:p w:rsidR="00526258" w:rsidRPr="00260053" w:rsidRDefault="00526258" w:rsidP="00526258">
      <w:pPr>
        <w:pStyle w:val="NormalWeb"/>
        <w:spacing w:before="0" w:beforeAutospacing="0" w:after="0" w:afterAutospacing="0" w:line="200" w:lineRule="exact"/>
        <w:ind w:left="142"/>
        <w:rPr>
          <w:rFonts w:ascii="Arial" w:hAnsi="Arial" w:cs="Arial"/>
          <w:iCs/>
          <w:sz w:val="18"/>
          <w:szCs w:val="18"/>
        </w:rPr>
      </w:pPr>
      <w:bookmarkStart w:id="0" w:name="_GoBack"/>
      <w:r w:rsidRPr="00260053">
        <w:rPr>
          <w:rFonts w:ascii="Arial" w:hAnsi="Arial" w:cs="Arial"/>
          <w:sz w:val="18"/>
          <w:szCs w:val="18"/>
        </w:rPr>
        <w:t>Valentin A. Krylov</w:t>
      </w:r>
      <w:bookmarkEnd w:id="0"/>
      <w:r w:rsidRPr="00260053">
        <w:rPr>
          <w:rFonts w:ascii="Arial" w:eastAsia="Times New Roman" w:hAnsi="Arial" w:cs="Arial"/>
          <w:color w:val="181512"/>
          <w:sz w:val="18"/>
          <w:szCs w:val="18"/>
          <w:lang w:val="es-ES"/>
        </w:rPr>
        <w:t>*</w:t>
      </w:r>
      <w:r w:rsidRPr="00260053">
        <w:rPr>
          <w:rFonts w:ascii="Arial" w:hAnsi="Arial" w:cs="Arial"/>
          <w:sz w:val="18"/>
          <w:szCs w:val="18"/>
        </w:rPr>
        <w:t xml:space="preserve">, </w:t>
      </w:r>
      <w:r w:rsidRPr="00B914FD">
        <w:rPr>
          <w:rFonts w:ascii="Arial" w:hAnsi="Arial" w:cs="Arial"/>
          <w:color w:val="000000"/>
          <w:sz w:val="18"/>
          <w:szCs w:val="18"/>
          <w:shd w:val="clear" w:color="auto" w:fill="FFFFFF"/>
        </w:rPr>
        <w:t>Doctor of Science in Chemistry</w:t>
      </w:r>
      <w:r w:rsidRPr="00260053">
        <w:rPr>
          <w:rFonts w:ascii="Arial" w:eastAsia="SimSun" w:hAnsi="Arial" w:cs="Arial"/>
          <w:color w:val="181512"/>
          <w:sz w:val="18"/>
          <w:szCs w:val="18"/>
          <w:lang w:eastAsia="zh-CN"/>
        </w:rPr>
        <w:t xml:space="preserve">, </w:t>
      </w:r>
      <w:r w:rsidRPr="00260053">
        <w:rPr>
          <w:rFonts w:ascii="Arial" w:hAnsi="Arial" w:cs="Arial"/>
          <w:iCs/>
          <w:sz w:val="18"/>
          <w:szCs w:val="18"/>
        </w:rPr>
        <w:t>N. I. Lobachevskii Nizhny Novgorod State University, Russia</w:t>
      </w:r>
    </w:p>
    <w:p w:rsidR="00526258" w:rsidRPr="00260053" w:rsidRDefault="00526258" w:rsidP="00526258">
      <w:pPr>
        <w:autoSpaceDE w:val="0"/>
        <w:autoSpaceDN w:val="0"/>
        <w:adjustRightInd w:val="0"/>
        <w:spacing w:line="200" w:lineRule="exact"/>
        <w:ind w:left="142"/>
        <w:rPr>
          <w:rFonts w:ascii="Arial" w:hAnsi="Arial" w:cs="Arial"/>
          <w:sz w:val="18"/>
          <w:szCs w:val="18"/>
        </w:rPr>
      </w:pPr>
      <w:r w:rsidRPr="00260053">
        <w:rPr>
          <w:rFonts w:ascii="Arial" w:hAnsi="Arial" w:cs="Arial"/>
          <w:sz w:val="18"/>
          <w:szCs w:val="18"/>
        </w:rPr>
        <w:t xml:space="preserve">Pavel V. Mosyagin, </w:t>
      </w:r>
      <w:r w:rsidRPr="00260053">
        <w:rPr>
          <w:rFonts w:ascii="Arial"/>
          <w:sz w:val="18"/>
          <w:szCs w:val="18"/>
        </w:rPr>
        <w:t>PhD,</w:t>
      </w:r>
      <w:r w:rsidRPr="00260053">
        <w:rPr>
          <w:rFonts w:ascii="Arial" w:hAnsi="Arial" w:cs="Arial"/>
          <w:iCs/>
          <w:sz w:val="18"/>
          <w:szCs w:val="18"/>
        </w:rPr>
        <w:t xml:space="preserve"> N. I. Lobachevskii Nizhny Novgorod State University, Russia</w:t>
      </w:r>
    </w:p>
    <w:p w:rsidR="00526258" w:rsidRDefault="00526258" w:rsidP="00526258">
      <w:pPr>
        <w:pStyle w:val="BodyText"/>
        <w:spacing w:before="3"/>
        <w:rPr>
          <w:rFonts w:ascii="Arial"/>
          <w:sz w:val="21"/>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526258" w:rsidRPr="00526258" w:rsidRDefault="00526258" w:rsidP="00526258">
      <w:pPr>
        <w:pStyle w:val="Heading3"/>
        <w:spacing w:before="147"/>
        <w:jc w:val="both"/>
        <w:rPr>
          <w:rFonts w:ascii="Calibri" w:hAnsi="Calibri"/>
          <w:sz w:val="18"/>
          <w:szCs w:val="18"/>
        </w:rPr>
      </w:pPr>
      <w:r w:rsidRPr="00526258">
        <w:rPr>
          <w:rFonts w:ascii="Calibri" w:hAnsi="Calibri"/>
          <w:color w:val="BF5A14"/>
          <w:sz w:val="18"/>
          <w:szCs w:val="18"/>
        </w:rPr>
        <w:lastRenderedPageBreak/>
        <w:t xml:space="preserve">Abstract </w:t>
      </w:r>
    </w:p>
    <w:p w:rsidR="00526258" w:rsidRPr="00526258" w:rsidRDefault="00526258" w:rsidP="00526258">
      <w:pPr>
        <w:widowControl/>
        <w:autoSpaceDE w:val="0"/>
        <w:autoSpaceDN w:val="0"/>
        <w:adjustRightInd w:val="0"/>
        <w:spacing w:line="200" w:lineRule="exact"/>
        <w:ind w:firstLine="720"/>
        <w:jc w:val="both"/>
        <w:rPr>
          <w:rFonts w:ascii="Calibri" w:hAnsi="Calibri"/>
          <w:sz w:val="18"/>
          <w:szCs w:val="18"/>
        </w:rPr>
      </w:pPr>
      <w:r w:rsidRPr="00526258">
        <w:rPr>
          <w:rFonts w:ascii="Calibri" w:hAnsi="Calibri"/>
          <w:sz w:val="18"/>
          <w:szCs w:val="18"/>
        </w:rPr>
        <w:t xml:space="preserve">Esters of </w:t>
      </w:r>
      <w:r w:rsidRPr="00526258">
        <w:rPr>
          <w:rFonts w:ascii="Calibri" w:hAnsi="Calibri"/>
          <w:i/>
          <w:sz w:val="18"/>
          <w:szCs w:val="18"/>
        </w:rPr>
        <w:t>o</w:t>
      </w:r>
      <w:r w:rsidRPr="00526258">
        <w:rPr>
          <w:rFonts w:ascii="Calibri" w:hAnsi="Calibri"/>
          <w:sz w:val="18"/>
          <w:szCs w:val="18"/>
        </w:rPr>
        <w:t xml:space="preserve">-phthalic acid are very dangerous for human health. Their occurrence in wines is connected with the inflow from the plasticized polymer seals, plastic piping, tanks and stoppers. In this study the  high sensitive gas chromatographic-mass spectrometric determination of phthalates in low alcoholic beverages (champagne, red and white wine) coupled ultrasound-assisted emulsification-microextraction was  developed. As extractants environmentally friendly hydrocarbons - </w:t>
      </w:r>
      <w:r w:rsidRPr="00526258">
        <w:rPr>
          <w:rFonts w:ascii="Calibri" w:hAnsi="Calibri"/>
          <w:i/>
          <w:sz w:val="18"/>
          <w:szCs w:val="18"/>
        </w:rPr>
        <w:t>n</w:t>
      </w:r>
      <w:r w:rsidRPr="00526258">
        <w:rPr>
          <w:rFonts w:ascii="Calibri" w:hAnsi="Calibri"/>
          <w:sz w:val="18"/>
          <w:szCs w:val="18"/>
        </w:rPr>
        <w:t xml:space="preserve">-heptane and </w:t>
      </w:r>
      <w:r w:rsidRPr="00526258">
        <w:rPr>
          <w:rFonts w:ascii="Calibri" w:hAnsi="Calibri"/>
          <w:i/>
          <w:sz w:val="18"/>
          <w:szCs w:val="18"/>
        </w:rPr>
        <w:t>n</w:t>
      </w:r>
      <w:r w:rsidRPr="00526258">
        <w:rPr>
          <w:rFonts w:ascii="Calibri" w:hAnsi="Calibri"/>
          <w:sz w:val="18"/>
          <w:szCs w:val="18"/>
        </w:rPr>
        <w:t xml:space="preserve">-hexane are proposed.The sources of possible systematic errors were investigated:   leaking of </w:t>
      </w:r>
      <w:r w:rsidRPr="00526258">
        <w:rPr>
          <w:rFonts w:ascii="Calibri" w:hAnsi="Calibri"/>
          <w:i/>
          <w:sz w:val="18"/>
          <w:szCs w:val="18"/>
        </w:rPr>
        <w:t>o</w:t>
      </w:r>
      <w:r w:rsidRPr="00526258">
        <w:rPr>
          <w:rFonts w:ascii="Calibri" w:hAnsi="Calibri"/>
          <w:sz w:val="18"/>
          <w:szCs w:val="18"/>
        </w:rPr>
        <w:t>-phthalates from chromatographic septum; contamination of phthalates in solvents; influence of macro components of wines(</w:t>
      </w:r>
      <w:r w:rsidRPr="00526258">
        <w:rPr>
          <w:rFonts w:ascii="Calibri" w:hAnsi="Calibri"/>
          <w:color w:val="231F20"/>
          <w:sz w:val="18"/>
          <w:szCs w:val="18"/>
        </w:rPr>
        <w:t>sugar, alcohol, anthocyanins)</w:t>
      </w:r>
      <w:r w:rsidRPr="00526258">
        <w:rPr>
          <w:rFonts w:ascii="Calibri" w:hAnsi="Calibri"/>
          <w:sz w:val="18"/>
          <w:szCs w:val="18"/>
        </w:rPr>
        <w:t xml:space="preserve">; the hydrolysis of </w:t>
      </w:r>
      <w:r w:rsidRPr="00526258">
        <w:rPr>
          <w:rFonts w:ascii="Calibri" w:hAnsi="Calibri"/>
          <w:i/>
          <w:sz w:val="18"/>
          <w:szCs w:val="18"/>
        </w:rPr>
        <w:t>o</w:t>
      </w:r>
      <w:r w:rsidRPr="00526258">
        <w:rPr>
          <w:rFonts w:ascii="Calibri" w:hAnsi="Calibri"/>
          <w:sz w:val="18"/>
          <w:szCs w:val="18"/>
        </w:rPr>
        <w:t>-phthalates and others. For the first time it is shown that the impact of these factors can lead to an overestimation or underestimation of the actual concentration of impurities by 1-2 orders of magnitude. The methods of accounting or elimination of systematic errors are proposed. Purification of solvents by Rayleigh distillation method allows to obtain samples with impurity content lower than (1-4)</w:t>
      </w:r>
      <w:r w:rsidR="00CB5C74" w:rsidRPr="00CB5C74">
        <w:rPr>
          <w:rFonts w:ascii="Calibri" w:hAnsi="Calibri" w:cs="Lucida Sans Unicode"/>
          <w:sz w:val="18"/>
          <w:szCs w:val="18"/>
          <w:vertAlign w:val="superscript"/>
        </w:rPr>
        <w:t>.</w:t>
      </w:r>
      <w:r w:rsidRPr="00526258">
        <w:rPr>
          <w:rFonts w:ascii="Calibri" w:hAnsi="Calibri"/>
          <w:sz w:val="18"/>
          <w:szCs w:val="18"/>
        </w:rPr>
        <w:t>10</w:t>
      </w:r>
      <w:r w:rsidRPr="00526258">
        <w:rPr>
          <w:rFonts w:ascii="Calibri" w:hAnsi="Calibri"/>
          <w:sz w:val="18"/>
          <w:szCs w:val="18"/>
          <w:vertAlign w:val="superscript"/>
        </w:rPr>
        <w:t>-3</w:t>
      </w:r>
      <w:r w:rsidRPr="00526258">
        <w:rPr>
          <w:rFonts w:ascii="Calibri" w:hAnsi="Calibri"/>
          <w:sz w:val="18"/>
          <w:szCs w:val="18"/>
        </w:rPr>
        <w:t>mgL</w:t>
      </w:r>
      <w:r w:rsidRPr="00526258">
        <w:rPr>
          <w:rFonts w:ascii="Calibri" w:hAnsi="Calibri"/>
          <w:sz w:val="18"/>
          <w:szCs w:val="18"/>
          <w:vertAlign w:val="superscript"/>
        </w:rPr>
        <w:t>-1</w:t>
      </w:r>
      <w:r w:rsidRPr="00526258">
        <w:rPr>
          <w:rFonts w:ascii="Calibri" w:hAnsi="Calibri"/>
          <w:sz w:val="18"/>
          <w:szCs w:val="18"/>
        </w:rPr>
        <w:t xml:space="preserve">. Containers for sampling and storage of samples to be analyzed should be made of borosilicate glass or quartz. The content of </w:t>
      </w:r>
      <w:r w:rsidRPr="00526258">
        <w:rPr>
          <w:rFonts w:ascii="Calibri" w:hAnsi="Calibri"/>
          <w:i/>
          <w:sz w:val="18"/>
          <w:szCs w:val="18"/>
        </w:rPr>
        <w:t>o</w:t>
      </w:r>
      <w:r w:rsidRPr="00526258">
        <w:rPr>
          <w:rFonts w:ascii="Calibri" w:hAnsi="Calibri"/>
          <w:sz w:val="18"/>
          <w:szCs w:val="18"/>
        </w:rPr>
        <w:t>-phthalates in wines was 0.03 - 1 mgL</w:t>
      </w:r>
      <w:r w:rsidRPr="00526258">
        <w:rPr>
          <w:rFonts w:ascii="Calibri" w:hAnsi="Calibri"/>
          <w:sz w:val="18"/>
          <w:szCs w:val="18"/>
          <w:vertAlign w:val="superscript"/>
        </w:rPr>
        <w:t>-1</w:t>
      </w:r>
      <w:r w:rsidRPr="00526258">
        <w:rPr>
          <w:rFonts w:ascii="Calibri" w:hAnsi="Calibri"/>
          <w:sz w:val="18"/>
          <w:szCs w:val="18"/>
        </w:rPr>
        <w:t>. The largest concentrations are characteristic for diethyl-, di-</w:t>
      </w:r>
      <w:r w:rsidRPr="00526258">
        <w:rPr>
          <w:rFonts w:ascii="Calibri" w:hAnsi="Calibri"/>
          <w:i/>
          <w:sz w:val="18"/>
          <w:szCs w:val="18"/>
        </w:rPr>
        <w:t>n</w:t>
      </w:r>
      <w:r w:rsidRPr="00526258">
        <w:rPr>
          <w:rFonts w:ascii="Calibri" w:hAnsi="Calibri"/>
          <w:sz w:val="18"/>
          <w:szCs w:val="18"/>
        </w:rPr>
        <w:t xml:space="preserve">-butyl- and di(2-ethylhexyl) </w:t>
      </w:r>
      <w:r w:rsidRPr="00526258">
        <w:rPr>
          <w:rFonts w:ascii="Calibri" w:hAnsi="Calibri" w:cs="Arial"/>
          <w:i/>
          <w:sz w:val="18"/>
          <w:szCs w:val="18"/>
        </w:rPr>
        <w:t>о</w:t>
      </w:r>
      <w:r w:rsidRPr="00526258">
        <w:rPr>
          <w:rFonts w:ascii="Calibri" w:hAnsi="Calibri"/>
          <w:sz w:val="18"/>
          <w:szCs w:val="18"/>
        </w:rPr>
        <w:t>-phthalates.</w:t>
      </w:r>
    </w:p>
    <w:p w:rsidR="00526258" w:rsidRPr="00526258" w:rsidRDefault="00526258" w:rsidP="00526258">
      <w:pPr>
        <w:widowControl/>
        <w:autoSpaceDE w:val="0"/>
        <w:autoSpaceDN w:val="0"/>
        <w:adjustRightInd w:val="0"/>
        <w:spacing w:line="200" w:lineRule="exact"/>
        <w:ind w:right="-1"/>
        <w:contextualSpacing/>
        <w:jc w:val="both"/>
        <w:rPr>
          <w:rFonts w:ascii="Calibri" w:eastAsia="Times New Roman" w:hAnsi="Calibri"/>
          <w:b/>
          <w:i/>
          <w:color w:val="181512"/>
          <w:sz w:val="18"/>
          <w:szCs w:val="18"/>
        </w:rPr>
      </w:pPr>
      <w:r w:rsidRPr="00526258">
        <w:rPr>
          <w:rFonts w:ascii="Calibri" w:hAnsi="Calibri"/>
          <w:sz w:val="18"/>
          <w:szCs w:val="18"/>
        </w:rPr>
        <w:t xml:space="preserve">The limits of detection of esters of </w:t>
      </w:r>
      <w:r w:rsidRPr="00526258">
        <w:rPr>
          <w:rFonts w:ascii="Calibri" w:hAnsi="Calibri" w:cs="Arial"/>
          <w:i/>
          <w:sz w:val="18"/>
          <w:szCs w:val="18"/>
        </w:rPr>
        <w:t>о</w:t>
      </w:r>
      <w:r w:rsidRPr="00526258">
        <w:rPr>
          <w:rFonts w:ascii="Calibri" w:hAnsi="Calibri"/>
          <w:sz w:val="18"/>
          <w:szCs w:val="18"/>
        </w:rPr>
        <w:t>-phthalic acid in low alcohol beverages achieved are at the level of 10</w:t>
      </w:r>
      <w:r w:rsidRPr="00526258">
        <w:rPr>
          <w:rFonts w:ascii="Calibri" w:hAnsi="Calibri"/>
          <w:sz w:val="18"/>
          <w:szCs w:val="18"/>
          <w:vertAlign w:val="superscript"/>
        </w:rPr>
        <w:t>-6</w:t>
      </w:r>
      <w:r w:rsidRPr="00526258">
        <w:rPr>
          <w:rFonts w:ascii="Calibri" w:hAnsi="Calibri"/>
          <w:sz w:val="18"/>
          <w:szCs w:val="18"/>
        </w:rPr>
        <w:t>–10</w:t>
      </w:r>
      <w:r w:rsidRPr="00526258">
        <w:rPr>
          <w:rFonts w:ascii="Calibri" w:hAnsi="Calibri"/>
          <w:sz w:val="18"/>
          <w:szCs w:val="18"/>
          <w:vertAlign w:val="superscript"/>
        </w:rPr>
        <w:t>-5</w:t>
      </w:r>
      <w:r w:rsidRPr="00526258">
        <w:rPr>
          <w:rFonts w:ascii="Calibri" w:hAnsi="Calibri"/>
          <w:sz w:val="18"/>
          <w:szCs w:val="18"/>
        </w:rPr>
        <w:t xml:space="preserve"> mgL</w:t>
      </w:r>
      <w:r w:rsidRPr="00526258">
        <w:rPr>
          <w:rFonts w:ascii="Calibri" w:hAnsi="Calibri"/>
          <w:sz w:val="18"/>
          <w:szCs w:val="18"/>
          <w:vertAlign w:val="superscript"/>
        </w:rPr>
        <w:t>-1</w:t>
      </w:r>
      <w:r w:rsidRPr="00526258">
        <w:rPr>
          <w:rFonts w:ascii="Calibri" w:hAnsi="Calibri"/>
          <w:sz w:val="18"/>
          <w:szCs w:val="18"/>
        </w:rPr>
        <w:t xml:space="preserve"> and are highly competitive with the best world results. Therelative expanded uncertainty of the determination of toxicants is at the level of 13- 30%.</w:t>
      </w:r>
    </w:p>
    <w:p w:rsidR="00AE3E37" w:rsidRDefault="00A9710C" w:rsidP="00526258">
      <w:pPr>
        <w:pStyle w:val="Heading3"/>
        <w:spacing w:before="74"/>
        <w:rPr>
          <w:b w:val="0"/>
          <w:sz w:val="16"/>
        </w:rPr>
      </w:pPr>
      <w:r w:rsidRPr="00526258">
        <w:rPr>
          <w:rFonts w:ascii="Calibri" w:hAnsi="Calibri"/>
          <w:b w:val="0"/>
          <w:sz w:val="18"/>
          <w:szCs w:val="18"/>
        </w:rPr>
        <w:br w:type="column"/>
      </w:r>
      <w:r w:rsidR="00526258">
        <w:rPr>
          <w:b w:val="0"/>
          <w:sz w:val="16"/>
        </w:rPr>
        <w:lastRenderedPageBreak/>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526258" w:rsidRPr="00012892" w:rsidRDefault="00526258" w:rsidP="00CB5C74">
      <w:pPr>
        <w:pStyle w:val="ListParagraph"/>
        <w:numPr>
          <w:ilvl w:val="0"/>
          <w:numId w:val="3"/>
        </w:numPr>
        <w:tabs>
          <w:tab w:val="left" w:pos="142"/>
        </w:tabs>
        <w:spacing w:before="92" w:line="218" w:lineRule="exact"/>
        <w:ind w:left="426"/>
        <w:contextualSpacing/>
        <w:rPr>
          <w:rFonts w:ascii="NewtonA-Italic" w:hAnsi="NewtonA-Italic"/>
          <w:i/>
          <w:iCs/>
          <w:color w:val="000000"/>
          <w:sz w:val="14"/>
          <w:szCs w:val="14"/>
        </w:rPr>
      </w:pPr>
      <w:r w:rsidRPr="00526258">
        <w:rPr>
          <w:sz w:val="18"/>
        </w:rPr>
        <w:t xml:space="preserve"> </w:t>
      </w:r>
      <w:r w:rsidRPr="00012892">
        <w:rPr>
          <w:sz w:val="18"/>
        </w:rPr>
        <w:t xml:space="preserve">Krylov V.A., Krylov A.V., Mosyagin P.V.(2011) Liquid-Phase </w:t>
      </w:r>
      <w:r w:rsidRPr="00526258">
        <w:rPr>
          <w:sz w:val="18"/>
        </w:rPr>
        <w:t xml:space="preserve">         </w:t>
      </w:r>
      <w:r w:rsidRPr="00012892">
        <w:rPr>
          <w:sz w:val="18"/>
        </w:rPr>
        <w:t>Microextraction Preconcentration of Impurities. J.Anal.Chem.66:341-360.</w:t>
      </w:r>
    </w:p>
    <w:p w:rsidR="00526258" w:rsidRPr="00012892" w:rsidRDefault="00526258" w:rsidP="00CB5C74">
      <w:pPr>
        <w:pStyle w:val="ListParagraph"/>
        <w:numPr>
          <w:ilvl w:val="0"/>
          <w:numId w:val="3"/>
        </w:numPr>
        <w:spacing w:before="92" w:line="218" w:lineRule="exact"/>
        <w:ind w:left="426"/>
        <w:contextualSpacing/>
        <w:rPr>
          <w:i/>
          <w:iCs/>
          <w:color w:val="000000"/>
          <w:sz w:val="18"/>
          <w:szCs w:val="18"/>
        </w:rPr>
      </w:pPr>
      <w:r w:rsidRPr="00012892">
        <w:rPr>
          <w:rStyle w:val="fontstyle01"/>
          <w:rFonts w:ascii="Calibri" w:hAnsi="Calibri" w:cs="Times New Roman"/>
          <w:b w:val="0"/>
          <w:sz w:val="18"/>
          <w:szCs w:val="18"/>
        </w:rPr>
        <w:t>Krylov</w:t>
      </w:r>
      <w:r w:rsidR="00CB5C74" w:rsidRPr="00CB5C74">
        <w:rPr>
          <w:rStyle w:val="fontstyle01"/>
          <w:rFonts w:ascii="Calibri" w:hAnsi="Calibri" w:cs="Times New Roman"/>
          <w:b w:val="0"/>
          <w:sz w:val="18"/>
          <w:szCs w:val="18"/>
        </w:rPr>
        <w:t xml:space="preserve"> </w:t>
      </w:r>
      <w:r w:rsidR="00CB5C74" w:rsidRPr="00012892">
        <w:rPr>
          <w:rStyle w:val="fontstyle01"/>
          <w:rFonts w:ascii="Calibri" w:hAnsi="Calibri" w:cs="Times New Roman"/>
          <w:b w:val="0"/>
          <w:sz w:val="18"/>
          <w:szCs w:val="18"/>
        </w:rPr>
        <w:t>V. A.</w:t>
      </w:r>
      <w:r w:rsidRPr="00012892">
        <w:rPr>
          <w:rStyle w:val="fontstyle21"/>
          <w:rFonts w:ascii="Calibri" w:hAnsi="Calibri" w:cs="Times New Roman"/>
          <w:b w:val="0"/>
          <w:sz w:val="18"/>
          <w:szCs w:val="18"/>
        </w:rPr>
        <w:t xml:space="preserve">, </w:t>
      </w:r>
      <w:r w:rsidRPr="00012892">
        <w:rPr>
          <w:rStyle w:val="fontstyle01"/>
          <w:rFonts w:ascii="Calibri" w:hAnsi="Calibri" w:cs="Times New Roman"/>
          <w:b w:val="0"/>
          <w:sz w:val="18"/>
          <w:szCs w:val="18"/>
        </w:rPr>
        <w:t xml:space="preserve"> Volkova</w:t>
      </w:r>
      <w:r w:rsidRPr="00526258">
        <w:rPr>
          <w:rStyle w:val="fontstyle01"/>
          <w:rFonts w:ascii="Calibri" w:hAnsi="Calibri" w:cs="Times New Roman"/>
          <w:b w:val="0"/>
          <w:sz w:val="18"/>
          <w:szCs w:val="18"/>
        </w:rPr>
        <w:t xml:space="preserve"> </w:t>
      </w:r>
      <w:r w:rsidRPr="00012892">
        <w:rPr>
          <w:rStyle w:val="fontstyle01"/>
          <w:rFonts w:ascii="Calibri" w:hAnsi="Calibri" w:cs="Times New Roman"/>
          <w:b w:val="0"/>
          <w:sz w:val="18"/>
          <w:szCs w:val="18"/>
        </w:rPr>
        <w:t xml:space="preserve">V. V. </w:t>
      </w:r>
      <w:r w:rsidR="00CB5C74" w:rsidRPr="00012892">
        <w:rPr>
          <w:iCs/>
          <w:color w:val="000000"/>
          <w:sz w:val="18"/>
          <w:szCs w:val="18"/>
        </w:rPr>
        <w:t>(2015</w:t>
      </w:r>
      <w:r w:rsidR="00CB5C74">
        <w:rPr>
          <w:iCs/>
          <w:color w:val="000000"/>
          <w:sz w:val="18"/>
          <w:szCs w:val="18"/>
        </w:rPr>
        <w:t>)</w:t>
      </w:r>
      <w:r w:rsidR="00CB5C74" w:rsidRPr="00012892">
        <w:rPr>
          <w:iCs/>
          <w:color w:val="000000"/>
          <w:sz w:val="18"/>
          <w:szCs w:val="18"/>
        </w:rPr>
        <w:t xml:space="preserve"> </w:t>
      </w:r>
      <w:r w:rsidRPr="00012892">
        <w:rPr>
          <w:rStyle w:val="fontstyle01"/>
          <w:rFonts w:ascii="Calibri" w:hAnsi="Calibri" w:cs="Times New Roman"/>
          <w:b w:val="0"/>
          <w:sz w:val="18"/>
          <w:szCs w:val="18"/>
        </w:rPr>
        <w:t xml:space="preserve">Sources of Systematic Errors in the </w:t>
      </w:r>
      <w:r>
        <w:rPr>
          <w:rStyle w:val="fontstyle01"/>
          <w:rFonts w:cs="Times New Roman"/>
          <w:b w:val="0"/>
          <w:sz w:val="18"/>
          <w:szCs w:val="18"/>
        </w:rPr>
        <w:t xml:space="preserve">       </w:t>
      </w:r>
      <w:r w:rsidRPr="00012892">
        <w:rPr>
          <w:rStyle w:val="fontstyle01"/>
          <w:rFonts w:ascii="Calibri" w:hAnsi="Calibri" w:cs="Times New Roman"/>
          <w:b w:val="0"/>
          <w:sz w:val="18"/>
          <w:szCs w:val="18"/>
        </w:rPr>
        <w:t>Gas</w:t>
      </w:r>
      <w:r>
        <w:rPr>
          <w:rStyle w:val="fontstyle01"/>
          <w:rFonts w:cs="Times New Roman"/>
          <w:b w:val="0"/>
          <w:sz w:val="18"/>
          <w:szCs w:val="18"/>
        </w:rPr>
        <w:t> </w:t>
      </w:r>
      <w:r w:rsidRPr="00012892">
        <w:rPr>
          <w:rStyle w:val="fontstyle01"/>
          <w:rFonts w:ascii="Calibri" w:hAnsi="Calibri" w:cs="Times New Roman"/>
          <w:b w:val="0"/>
          <w:sz w:val="18"/>
          <w:szCs w:val="18"/>
        </w:rPr>
        <w:t>Chromatographic</w:t>
      </w:r>
      <w:r>
        <w:rPr>
          <w:rStyle w:val="fontstyle01"/>
          <w:rFonts w:cs="Times New Roman"/>
          <w:b w:val="0"/>
          <w:sz w:val="18"/>
          <w:szCs w:val="18"/>
        </w:rPr>
        <w:t xml:space="preserve"> </w:t>
      </w:r>
      <w:r w:rsidRPr="00012892">
        <w:rPr>
          <w:rStyle w:val="fontstyle01"/>
          <w:rFonts w:ascii="Calibri" w:hAnsi="Calibri" w:cs="Times New Roman"/>
          <w:b w:val="0"/>
          <w:sz w:val="18"/>
          <w:szCs w:val="18"/>
        </w:rPr>
        <w:t xml:space="preserve">Determination of Dialkyl </w:t>
      </w:r>
      <w:r w:rsidRPr="00012892">
        <w:rPr>
          <w:rStyle w:val="fontstyle21"/>
          <w:rFonts w:ascii="Calibri" w:hAnsi="Calibri" w:cs="Times New Roman"/>
          <w:b w:val="0"/>
          <w:sz w:val="18"/>
          <w:szCs w:val="18"/>
        </w:rPr>
        <w:t>o-</w:t>
      </w:r>
      <w:r w:rsidRPr="00012892">
        <w:rPr>
          <w:rStyle w:val="fontstyle01"/>
          <w:rFonts w:ascii="Calibri" w:hAnsi="Calibri" w:cs="Times New Roman"/>
          <w:b w:val="0"/>
          <w:sz w:val="18"/>
          <w:szCs w:val="18"/>
        </w:rPr>
        <w:t>Phthalates in Water</w:t>
      </w:r>
      <w:r w:rsidRPr="00012892">
        <w:rPr>
          <w:rStyle w:val="fontstyle01"/>
          <w:rFonts w:ascii="Calibri" w:hAnsi="Calibri"/>
          <w:sz w:val="18"/>
          <w:szCs w:val="18"/>
        </w:rPr>
        <w:t xml:space="preserve"> </w:t>
      </w:r>
      <w:r w:rsidRPr="00012892">
        <w:rPr>
          <w:sz w:val="18"/>
        </w:rPr>
        <w:t>J.Anal.Chem.</w:t>
      </w:r>
      <w:r w:rsidRPr="00012892">
        <w:rPr>
          <w:i/>
          <w:iCs/>
          <w:color w:val="000000"/>
          <w:sz w:val="18"/>
          <w:szCs w:val="18"/>
        </w:rPr>
        <w:t xml:space="preserve">, </w:t>
      </w:r>
      <w:r w:rsidRPr="00012892">
        <w:rPr>
          <w:iCs/>
          <w:color w:val="000000"/>
          <w:sz w:val="18"/>
          <w:szCs w:val="18"/>
        </w:rPr>
        <w:t>70:. 586–592.</w:t>
      </w:r>
      <w:r w:rsidRPr="00012892">
        <w:rPr>
          <w:i/>
          <w:iCs/>
          <w:color w:val="000000"/>
          <w:sz w:val="18"/>
          <w:szCs w:val="18"/>
        </w:rPr>
        <w:t xml:space="preserve"> </w:t>
      </w:r>
    </w:p>
    <w:p w:rsidR="00526258" w:rsidRPr="003D2A42" w:rsidRDefault="00526258" w:rsidP="00526258">
      <w:pPr>
        <w:pStyle w:val="ListParagraph"/>
        <w:numPr>
          <w:ilvl w:val="0"/>
          <w:numId w:val="3"/>
        </w:numPr>
        <w:tabs>
          <w:tab w:val="left" w:pos="284"/>
        </w:tabs>
        <w:spacing w:before="0" w:line="216" w:lineRule="exact"/>
        <w:contextualSpacing/>
        <w:rPr>
          <w:sz w:val="18"/>
        </w:rPr>
      </w:pPr>
      <w:r>
        <w:rPr>
          <w:sz w:val="18"/>
        </w:rPr>
        <w:t xml:space="preserve">  </w:t>
      </w:r>
      <w:r w:rsidRPr="003D2A42">
        <w:rPr>
          <w:sz w:val="18"/>
        </w:rPr>
        <w:t xml:space="preserve">Krylov V. A., Nesterova V. V.  (2016) High-sensitive gas chromatographic-mass spectrometric determination of esters of o-phthalic acid in water with liquid-phase microextraction. Int. J. Pharma Bio Sci. 7(2):139 – 149. </w:t>
      </w:r>
    </w:p>
    <w:p w:rsidR="00526258" w:rsidRPr="00F43192" w:rsidRDefault="00526258" w:rsidP="00526258">
      <w:pPr>
        <w:pStyle w:val="ListParagraph"/>
        <w:numPr>
          <w:ilvl w:val="0"/>
          <w:numId w:val="3"/>
        </w:numPr>
        <w:tabs>
          <w:tab w:val="left" w:pos="384"/>
        </w:tabs>
        <w:spacing w:line="216" w:lineRule="exact"/>
        <w:ind w:right="138" w:hanging="283"/>
        <w:contextualSpacing/>
        <w:rPr>
          <w:sz w:val="18"/>
          <w:szCs w:val="18"/>
        </w:rPr>
      </w:pPr>
      <w:r w:rsidRPr="00F43192">
        <w:rPr>
          <w:rFonts w:eastAsia="Microsoft YaHei" w:cs="Times New Roman"/>
          <w:sz w:val="18"/>
          <w:szCs w:val="18"/>
          <w:shd w:val="clear" w:color="auto" w:fill="FFFFFF"/>
          <w:lang w:eastAsia="ru-RU"/>
        </w:rPr>
        <w:t> </w:t>
      </w:r>
      <w:hyperlink r:id="rId9" w:tgtFrame="_blank" w:history="1">
        <w:r w:rsidRPr="00F43192">
          <w:rPr>
            <w:rFonts w:eastAsia="Microsoft YaHei" w:cs="Times New Roman"/>
            <w:sz w:val="18"/>
            <w:szCs w:val="18"/>
            <w:lang w:eastAsia="ru-RU"/>
          </w:rPr>
          <w:t>Montevecchi</w:t>
        </w:r>
        <w:r w:rsidRPr="00F43192">
          <w:rPr>
            <w:rFonts w:eastAsia="Microsoft YaHei" w:cs="Times New Roman"/>
            <w:sz w:val="18"/>
            <w:szCs w:val="18"/>
            <w:shd w:val="clear" w:color="auto" w:fill="FFFFFF"/>
            <w:lang w:eastAsia="ru-RU"/>
          </w:rPr>
          <w:t xml:space="preserve"> G.</w:t>
        </w:r>
        <w:r w:rsidRPr="00F43192">
          <w:rPr>
            <w:rFonts w:eastAsia="Microsoft YaHei" w:cs="Times New Roman"/>
            <w:sz w:val="18"/>
            <w:szCs w:val="18"/>
            <w:lang w:eastAsia="ru-RU"/>
          </w:rPr>
          <w:t>,</w:t>
        </w:r>
      </w:hyperlink>
      <w:r w:rsidRPr="00F43192">
        <w:rPr>
          <w:rFonts w:eastAsia="Microsoft YaHei" w:cs="Times New Roman"/>
          <w:sz w:val="18"/>
          <w:szCs w:val="18"/>
          <w:shd w:val="clear" w:color="auto" w:fill="FFFFFF"/>
          <w:lang w:eastAsia="ru-RU"/>
        </w:rPr>
        <w:t xml:space="preserve">   </w:t>
      </w:r>
      <w:hyperlink r:id="rId10" w:tgtFrame="_blank" w:history="1">
        <w:r w:rsidRPr="00F43192">
          <w:rPr>
            <w:rFonts w:eastAsia="Microsoft YaHei" w:cs="Times New Roman"/>
            <w:sz w:val="18"/>
            <w:szCs w:val="18"/>
            <w:lang w:eastAsia="ru-RU"/>
          </w:rPr>
          <w:t>Masino</w:t>
        </w:r>
        <w:r w:rsidRPr="00F43192">
          <w:rPr>
            <w:rFonts w:eastAsia="Microsoft YaHei" w:cs="Times New Roman"/>
            <w:sz w:val="18"/>
            <w:szCs w:val="18"/>
            <w:shd w:val="clear" w:color="auto" w:fill="FFFFFF"/>
            <w:lang w:eastAsia="ru-RU"/>
          </w:rPr>
          <w:t xml:space="preserve"> F.</w:t>
        </w:r>
        <w:r w:rsidRPr="00F43192">
          <w:rPr>
            <w:rFonts w:eastAsia="Microsoft YaHei" w:cs="Times New Roman"/>
            <w:sz w:val="18"/>
            <w:szCs w:val="18"/>
            <w:lang w:eastAsia="ru-RU"/>
          </w:rPr>
          <w:t>,</w:t>
        </w:r>
        <w:r w:rsidRPr="00F43192">
          <w:rPr>
            <w:rFonts w:eastAsia="Microsoft YaHei" w:cs="Times New Roman"/>
            <w:sz w:val="18"/>
            <w:szCs w:val="18"/>
            <w:vertAlign w:val="superscript"/>
            <w:lang w:eastAsia="ru-RU"/>
          </w:rPr>
          <w:t> </w:t>
        </w:r>
      </w:hyperlink>
      <w:r w:rsidRPr="00F43192">
        <w:rPr>
          <w:rFonts w:eastAsia="Microsoft YaHei" w:cs="Times New Roman"/>
          <w:sz w:val="18"/>
          <w:szCs w:val="18"/>
          <w:shd w:val="clear" w:color="auto" w:fill="FFFFFF"/>
          <w:lang w:eastAsia="ru-RU"/>
        </w:rPr>
        <w:t xml:space="preserve">  </w:t>
      </w:r>
      <w:hyperlink r:id="rId11" w:tgtFrame="_blank" w:history="1">
        <w:r w:rsidRPr="00F43192">
          <w:rPr>
            <w:rFonts w:eastAsia="Microsoft YaHei" w:cs="Times New Roman"/>
            <w:sz w:val="18"/>
            <w:szCs w:val="18"/>
            <w:lang w:eastAsia="ru-RU"/>
          </w:rPr>
          <w:t>Zanasi</w:t>
        </w:r>
        <w:r w:rsidRPr="00F43192">
          <w:rPr>
            <w:rFonts w:eastAsia="Microsoft YaHei" w:cs="Times New Roman"/>
            <w:sz w:val="18"/>
            <w:szCs w:val="18"/>
            <w:shd w:val="clear" w:color="auto" w:fill="FFFFFF"/>
            <w:lang w:eastAsia="ru-RU"/>
          </w:rPr>
          <w:t xml:space="preserve"> L.</w:t>
        </w:r>
        <w:r w:rsidRPr="00F43192">
          <w:rPr>
            <w:rFonts w:eastAsia="Microsoft YaHei" w:cs="Times New Roman"/>
            <w:sz w:val="18"/>
            <w:szCs w:val="18"/>
            <w:lang w:eastAsia="ru-RU"/>
          </w:rPr>
          <w:t>,</w:t>
        </w:r>
        <w:r w:rsidRPr="00F43192">
          <w:rPr>
            <w:rFonts w:eastAsia="Microsoft YaHei" w:cs="Times New Roman"/>
            <w:sz w:val="18"/>
            <w:szCs w:val="18"/>
            <w:vertAlign w:val="superscript"/>
            <w:lang w:eastAsia="ru-RU"/>
          </w:rPr>
          <w:t> </w:t>
        </w:r>
      </w:hyperlink>
      <w:r w:rsidRPr="00F43192">
        <w:rPr>
          <w:rFonts w:eastAsia="Microsoft YaHei" w:cs="Times New Roman"/>
          <w:sz w:val="18"/>
          <w:szCs w:val="18"/>
          <w:shd w:val="clear" w:color="auto" w:fill="FFFFFF"/>
          <w:lang w:eastAsia="ru-RU"/>
        </w:rPr>
        <w:t>  </w:t>
      </w:r>
      <w:hyperlink r:id="rId12" w:tgtFrame="_blank" w:history="1">
        <w:r w:rsidRPr="00F43192">
          <w:rPr>
            <w:rFonts w:eastAsia="Microsoft YaHei" w:cs="Times New Roman"/>
            <w:sz w:val="18"/>
            <w:szCs w:val="18"/>
            <w:lang w:eastAsia="ru-RU"/>
          </w:rPr>
          <w:t>Antonelli</w:t>
        </w:r>
      </w:hyperlink>
      <w:r w:rsidRPr="00F43192">
        <w:rPr>
          <w:rFonts w:eastAsia="Microsoft YaHei" w:cs="Times New Roman"/>
          <w:sz w:val="18"/>
          <w:szCs w:val="18"/>
          <w:shd w:val="clear" w:color="auto" w:fill="FFFFFF"/>
          <w:lang w:eastAsia="ru-RU"/>
        </w:rPr>
        <w:t xml:space="preserve"> A. (</w:t>
      </w:r>
      <w:r w:rsidRPr="00F43192">
        <w:rPr>
          <w:rFonts w:eastAsia="Microsoft YaHei" w:cs="Times New Roman"/>
          <w:bCs/>
          <w:sz w:val="18"/>
          <w:szCs w:val="18"/>
          <w:shd w:val="clear" w:color="auto" w:fill="FFFFFF"/>
          <w:lang w:eastAsia="ru-RU"/>
        </w:rPr>
        <w:t>2017) </w:t>
      </w:r>
      <w:hyperlink r:id="rId13" w:tgtFrame="_blank" w:history="1">
        <w:r w:rsidRPr="00F43192">
          <w:rPr>
            <w:rFonts w:eastAsia="Microsoft YaHei"/>
            <w:bCs/>
            <w:sz w:val="18"/>
            <w:szCs w:val="18"/>
            <w:lang w:eastAsia="ru-RU"/>
          </w:rPr>
          <w:t>Determination of phthalate esters in distillates by ultrasound-vortex-assisted dispersive liquid-liquid micro-extraction</w:t>
        </w:r>
        <w:r>
          <w:rPr>
            <w:rFonts w:eastAsia="Microsoft YaHei"/>
            <w:bCs/>
            <w:sz w:val="18"/>
            <w:szCs w:val="18"/>
            <w:lang w:eastAsia="ru-RU"/>
          </w:rPr>
          <w:t xml:space="preserve">   </w:t>
        </w:r>
        <w:r w:rsidRPr="00F43192">
          <w:rPr>
            <w:rFonts w:eastAsia="Microsoft YaHei"/>
            <w:bCs/>
            <w:sz w:val="18"/>
            <w:szCs w:val="18"/>
            <w:lang w:eastAsia="ru-RU"/>
          </w:rPr>
          <w:t>(USVADLLME)  coupled with gas</w:t>
        </w:r>
        <w:r>
          <w:rPr>
            <w:rFonts w:eastAsia="Microsoft YaHei"/>
            <w:bCs/>
            <w:sz w:val="18"/>
            <w:szCs w:val="18"/>
            <w:lang w:eastAsia="ru-RU"/>
          </w:rPr>
          <w:t xml:space="preserve"> </w:t>
        </w:r>
        <w:r w:rsidRPr="00F43192">
          <w:rPr>
            <w:rFonts w:eastAsia="Microsoft YaHei"/>
            <w:bCs/>
            <w:sz w:val="18"/>
            <w:szCs w:val="18"/>
            <w:lang w:eastAsia="ru-RU"/>
          </w:rPr>
          <w:t> chromatography/mass pectrometry.</w:t>
        </w:r>
      </w:hyperlink>
      <w:r w:rsidRPr="00F43192">
        <w:rPr>
          <w:rFonts w:eastAsia="Microsoft YaHei" w:cs="Times New Roman"/>
          <w:iCs/>
          <w:sz w:val="18"/>
          <w:szCs w:val="18"/>
          <w:lang w:eastAsia="ru-RU"/>
        </w:rPr>
        <w:t>Food Chem</w:t>
      </w:r>
      <w:r>
        <w:rPr>
          <w:rFonts w:eastAsia="Microsoft YaHei" w:cs="Times New Roman"/>
          <w:iCs/>
          <w:sz w:val="18"/>
          <w:szCs w:val="18"/>
          <w:lang w:eastAsia="ru-RU"/>
        </w:rPr>
        <w:t>.</w:t>
      </w:r>
      <w:r w:rsidRPr="00F43192">
        <w:rPr>
          <w:rFonts w:eastAsia="Microsoft YaHei" w:cs="Times New Roman"/>
          <w:sz w:val="18"/>
          <w:szCs w:val="18"/>
          <w:shd w:val="clear" w:color="auto" w:fill="FFFFFF"/>
          <w:lang w:eastAsia="ru-RU"/>
        </w:rPr>
        <w:t>, 221: 1354-1360.</w:t>
      </w:r>
    </w:p>
    <w:p w:rsidR="00526258" w:rsidRPr="00F43192" w:rsidRDefault="00526258" w:rsidP="00526258">
      <w:pPr>
        <w:pStyle w:val="ListParagraph"/>
        <w:numPr>
          <w:ilvl w:val="0"/>
          <w:numId w:val="3"/>
        </w:numPr>
        <w:autoSpaceDE w:val="0"/>
        <w:autoSpaceDN w:val="0"/>
        <w:adjustRightInd w:val="0"/>
        <w:contextualSpacing/>
        <w:rPr>
          <w:rFonts w:asciiTheme="minorHAnsi" w:eastAsiaTheme="minorHAnsi" w:hAnsiTheme="minorHAnsi" w:cs="OneGulliverA"/>
          <w:color w:val="000066"/>
          <w:sz w:val="18"/>
          <w:szCs w:val="18"/>
        </w:rPr>
      </w:pPr>
      <w:r w:rsidRPr="00F43192">
        <w:rPr>
          <w:rFonts w:asciiTheme="minorHAnsi" w:eastAsiaTheme="minorHAnsi" w:hAnsiTheme="minorHAnsi" w:cs="GulliverRM"/>
          <w:color w:val="000000"/>
          <w:sz w:val="18"/>
          <w:szCs w:val="18"/>
        </w:rPr>
        <w:t>Cinelli G., Avino P., Notardonato I.,Centola A., Russo M. V.</w:t>
      </w:r>
      <w:r w:rsidRPr="00F43192">
        <w:rPr>
          <w:rFonts w:asciiTheme="minorHAnsi" w:eastAsiaTheme="minorHAnsi" w:hAnsiTheme="minorHAnsi" w:cs="OneGulliverA"/>
          <w:color w:val="000066"/>
          <w:sz w:val="18"/>
          <w:szCs w:val="18"/>
        </w:rPr>
        <w:t xml:space="preserve"> (2013)</w:t>
      </w:r>
      <w:r w:rsidRPr="00F43192">
        <w:rPr>
          <w:rFonts w:asciiTheme="minorHAnsi" w:eastAsiaTheme="minorHAnsi" w:hAnsiTheme="minorHAnsi" w:cs="GulliverRM"/>
          <w:color w:val="000000"/>
          <w:sz w:val="18"/>
          <w:szCs w:val="18"/>
        </w:rPr>
        <w:t xml:space="preserve"> Rapid analysis of six phthalate esters in wine by ultrasound-vortex-assisted dispersive liquid–liquid micro-extraction coupled with gas chromatography-flame ionization detector or gas chromatography–ion trap mass spectrometry</w:t>
      </w:r>
      <w:r w:rsidRPr="00F43192">
        <w:rPr>
          <w:rFonts w:asciiTheme="minorHAnsi" w:eastAsiaTheme="minorHAnsi" w:hAnsiTheme="minorHAnsi" w:cs="MathematicalPi-Six"/>
          <w:color w:val="000000"/>
          <w:sz w:val="18"/>
          <w:szCs w:val="18"/>
        </w:rPr>
        <w:t>.</w:t>
      </w:r>
      <w:r w:rsidRPr="00F43192">
        <w:rPr>
          <w:rFonts w:asciiTheme="minorHAnsi" w:eastAsiaTheme="minorHAnsi" w:hAnsiTheme="minorHAnsi" w:cs="GulliverRM"/>
          <w:color w:val="000066"/>
          <w:sz w:val="18"/>
          <w:szCs w:val="18"/>
        </w:rPr>
        <w:t xml:space="preserve"> Anal. Chim. Acta</w:t>
      </w:r>
      <w:r w:rsidRPr="00F43192">
        <w:rPr>
          <w:rFonts w:asciiTheme="minorHAnsi" w:eastAsiaTheme="minorHAnsi" w:hAnsiTheme="minorHAnsi" w:cs="OneGulliverA"/>
          <w:color w:val="000066"/>
          <w:sz w:val="18"/>
          <w:szCs w:val="18"/>
        </w:rPr>
        <w:t>769</w:t>
      </w:r>
      <w:r w:rsidRPr="00F43192">
        <w:rPr>
          <w:rFonts w:eastAsia="Microsoft YaHei" w:cs="Times New Roman"/>
          <w:sz w:val="18"/>
          <w:szCs w:val="18"/>
          <w:shd w:val="clear" w:color="auto" w:fill="FFFFFF"/>
          <w:lang w:eastAsia="ru-RU"/>
        </w:rPr>
        <w:t>:</w:t>
      </w:r>
      <w:r w:rsidRPr="00F43192">
        <w:rPr>
          <w:rFonts w:asciiTheme="minorHAnsi" w:eastAsiaTheme="minorHAnsi" w:hAnsiTheme="minorHAnsi" w:cs="OneGulliverA"/>
          <w:color w:val="000066"/>
          <w:sz w:val="18"/>
          <w:szCs w:val="18"/>
        </w:rPr>
        <w:t>72– 78</w:t>
      </w:r>
      <w:r>
        <w:rPr>
          <w:rFonts w:asciiTheme="minorHAnsi" w:eastAsiaTheme="minorHAnsi" w:hAnsiTheme="minorHAnsi" w:cs="OneGulliverA"/>
          <w:color w:val="000066"/>
          <w:sz w:val="18"/>
          <w:szCs w:val="18"/>
        </w:rPr>
        <w:t>.</w:t>
      </w:r>
    </w:p>
    <w:p w:rsidR="00526258" w:rsidRPr="008756E6" w:rsidRDefault="00526258" w:rsidP="00526258">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EE04B8">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234CA4">
      <w:pPr>
        <w:spacing w:before="92"/>
        <w:ind w:right="58"/>
        <w:rPr>
          <w:rFonts w:ascii="Arial"/>
        </w:rPr>
      </w:pPr>
      <w:r>
        <w:rPr>
          <w:noProof/>
        </w:rPr>
        <w:t xml:space="preserve">              </w:t>
      </w:r>
      <w:r w:rsidR="003F2B35" w:rsidRPr="003F2B35">
        <w:rPr>
          <w:noProof/>
        </w:rPr>
        <w:drawing>
          <wp:inline distT="0" distB="0" distL="0" distR="0">
            <wp:extent cx="550244" cy="617973"/>
            <wp:effectExtent l="19050" t="0" r="2206" b="0"/>
            <wp:docPr id="6" name="Рисунок 3" descr="Крыл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Крылов"/>
                    <pic:cNvPicPr>
                      <a:picLocks noChangeAspect="1" noChangeArrowheads="1"/>
                    </pic:cNvPicPr>
                  </pic:nvPicPr>
                  <pic:blipFill>
                    <a:blip r:embed="rId14" cstate="print"/>
                    <a:srcRect/>
                    <a:stretch>
                      <a:fillRect/>
                    </a:stretch>
                  </pic:blipFill>
                  <pic:spPr bwMode="auto">
                    <a:xfrm>
                      <a:off x="0" y="0"/>
                      <a:ext cx="554194" cy="622410"/>
                    </a:xfrm>
                    <a:prstGeom prst="rect">
                      <a:avLst/>
                    </a:prstGeom>
                    <a:noFill/>
                    <a:ln w="9525">
                      <a:noFill/>
                      <a:miter lim="800000"/>
                      <a:headEnd/>
                      <a:tailEnd/>
                    </a:ln>
                  </pic:spPr>
                </pic:pic>
              </a:graphicData>
            </a:graphic>
          </wp:inline>
        </w:drawing>
      </w:r>
      <w:r w:rsidR="003F2B35">
        <w:rPr>
          <w:rFonts w:asciiTheme="minorHAnsi" w:hAnsiTheme="minorHAnsi"/>
          <w:noProof/>
          <w:lang w:val="ru-RU" w:eastAsia="ru-RU"/>
        </w:rPr>
        <w:t xml:space="preserve">  </w:t>
      </w:r>
      <w:r w:rsidR="00A9710C">
        <w:rPr>
          <w:rFonts w:ascii="Arial"/>
          <w:color w:val="BF5A14"/>
        </w:rPr>
        <w:t>Biography</w:t>
      </w:r>
      <w:r w:rsidR="00234CA4">
        <w:rPr>
          <w:rFonts w:ascii="Arial"/>
          <w:color w:val="BF5A14"/>
        </w:rPr>
        <w:t xml:space="preserve">                                                                                                   </w:t>
      </w:r>
      <w:r w:rsidR="00404E5B">
        <w:rPr>
          <w:rFonts w:ascii="Arial"/>
          <w:color w:val="BF5A14"/>
        </w:rPr>
        <w:t xml:space="preserve"> </w:t>
      </w:r>
      <w:r w:rsidR="00234CA4" w:rsidRPr="00234CA4">
        <w:rPr>
          <w:rFonts w:ascii="Arial" w:hAnsi="Arial" w:cs="Arial"/>
          <w:noProof/>
          <w:color w:val="212529"/>
          <w:sz w:val="14"/>
          <w:szCs w:val="14"/>
        </w:rPr>
        <w:drawing>
          <wp:inline distT="0" distB="0" distL="0" distR="0">
            <wp:extent cx="682242" cy="622997"/>
            <wp:effectExtent l="19050" t="0" r="3558" b="0"/>
            <wp:docPr id="1" name="Рисунок 1"/>
            <wp:cNvGraphicFramePr/>
            <a:graphic xmlns:a="http://schemas.openxmlformats.org/drawingml/2006/main">
              <a:graphicData uri="http://schemas.openxmlformats.org/drawingml/2006/picture">
                <pic:pic xmlns:pic="http://schemas.openxmlformats.org/drawingml/2006/picture">
                  <pic:nvPicPr>
                    <pic:cNvPr id="5125" name="Picture 5"/>
                    <pic:cNvPicPr>
                      <a:picLocks noChangeAspect="1" noChangeArrowheads="1"/>
                    </pic:cNvPicPr>
                  </pic:nvPicPr>
                  <pic:blipFill>
                    <a:blip r:embed="rId15" cstate="print"/>
                    <a:srcRect/>
                    <a:stretch>
                      <a:fillRect/>
                    </a:stretch>
                  </pic:blipFill>
                  <pic:spPr bwMode="auto">
                    <a:xfrm>
                      <a:off x="0" y="0"/>
                      <a:ext cx="682242" cy="622997"/>
                    </a:xfrm>
                    <a:prstGeom prst="rect">
                      <a:avLst/>
                    </a:prstGeom>
                    <a:noFill/>
                    <a:ln w="9525">
                      <a:noFill/>
                      <a:miter lim="800000"/>
                      <a:headEnd/>
                      <a:tailEnd/>
                    </a:ln>
                  </pic:spPr>
                </pic:pic>
              </a:graphicData>
            </a:graphic>
          </wp:inline>
        </w:drawing>
      </w:r>
      <w:r w:rsidR="00234CA4">
        <w:rPr>
          <w:rFonts w:ascii="Arial"/>
          <w:color w:val="BF5A14"/>
        </w:rPr>
        <w:t xml:space="preserve"> </w:t>
      </w:r>
    </w:p>
    <w:p w:rsidR="003F2B35" w:rsidRPr="003F2B35" w:rsidRDefault="003F2B35" w:rsidP="003F2B35">
      <w:pPr>
        <w:autoSpaceDE w:val="0"/>
        <w:autoSpaceDN w:val="0"/>
        <w:adjustRightInd w:val="0"/>
        <w:jc w:val="both"/>
        <w:rPr>
          <w:rFonts w:ascii="Arial" w:hAnsi="Arial" w:cs="Arial"/>
          <w:sz w:val="14"/>
          <w:szCs w:val="14"/>
          <w:lang w:val="en-NZ"/>
        </w:rPr>
      </w:pPr>
      <w:r w:rsidRPr="003F2B35">
        <w:rPr>
          <w:rFonts w:ascii="Arial" w:hAnsi="Arial" w:cs="Arial"/>
          <w:color w:val="212529"/>
          <w:sz w:val="14"/>
          <w:szCs w:val="14"/>
          <w:lang w:eastAsia="ru-RU"/>
        </w:rPr>
        <w:t xml:space="preserve">Krylov V. A. </w:t>
      </w:r>
      <w:r w:rsidRPr="003F2B35">
        <w:rPr>
          <w:rFonts w:ascii="Arial" w:hAnsi="Arial" w:cs="Arial"/>
          <w:sz w:val="14"/>
          <w:szCs w:val="14"/>
          <w:lang w:val="en-NZ"/>
        </w:rPr>
        <w:t xml:space="preserve">has completed his PhD from  </w:t>
      </w:r>
      <w:r w:rsidRPr="003F2B35">
        <w:rPr>
          <w:rFonts w:ascii="Arial" w:eastAsia="TwCenMT-Regular" w:hAnsi="Arial" w:cs="Arial"/>
          <w:sz w:val="14"/>
          <w:szCs w:val="14"/>
        </w:rPr>
        <w:t>Gorkiy State University, Russia</w:t>
      </w:r>
      <w:r w:rsidRPr="003F2B35">
        <w:rPr>
          <w:rFonts w:ascii="Arial" w:hAnsi="Arial" w:cs="Arial"/>
          <w:sz w:val="14"/>
          <w:szCs w:val="14"/>
          <w:lang w:val="en-NZ"/>
        </w:rPr>
        <w:t>. Currently, he is a professor at the Department of Analytical Chemistry of Nizhny Novgorod State University.</w:t>
      </w:r>
      <w:r w:rsidRPr="003F2B35">
        <w:rPr>
          <w:rFonts w:ascii="Arial" w:hAnsi="Arial" w:cs="Arial"/>
          <w:color w:val="212529"/>
          <w:sz w:val="14"/>
          <w:szCs w:val="14"/>
          <w:lang w:eastAsia="ru-RU"/>
        </w:rPr>
        <w:t xml:space="preserve">The main direction of scientic research of professor Krylov is the development of the theory and applications of chromatography for the analysis of high purity substances, environmental objects and development of methods of the microextraction. </w:t>
      </w:r>
      <w:r w:rsidRPr="003F2B35">
        <w:rPr>
          <w:rFonts w:ascii="Arial" w:hAnsi="Arial" w:cs="Arial"/>
          <w:sz w:val="14"/>
          <w:szCs w:val="14"/>
          <w:lang w:val="en-NZ"/>
        </w:rPr>
        <w:t xml:space="preserve">He is the author of two monographs and over </w:t>
      </w:r>
      <w:r w:rsidRPr="003F2B35">
        <w:rPr>
          <w:rFonts w:ascii="Arial" w:hAnsi="Arial" w:cs="Arial"/>
          <w:color w:val="212529"/>
          <w:sz w:val="14"/>
          <w:szCs w:val="14"/>
          <w:lang w:eastAsia="ru-RU"/>
        </w:rPr>
        <w:t>200 scientic papers, including reviews on the analytical chemistry of air, high purity volatile substances and liquid-liquid microextraction.</w:t>
      </w:r>
      <w:r w:rsidRPr="003F2B35">
        <w:rPr>
          <w:rFonts w:ascii="Arial" w:hAnsi="Arial" w:cs="Arial"/>
          <w:sz w:val="14"/>
          <w:szCs w:val="14"/>
          <w:lang w:val="en-NZ"/>
        </w:rPr>
        <w:t xml:space="preserve"> He presented papers in more than 75 russian and international conferences.</w:t>
      </w:r>
    </w:p>
    <w:p w:rsidR="003F2B35" w:rsidRPr="003F2B35" w:rsidRDefault="00A9710C" w:rsidP="003F2B35">
      <w:pPr>
        <w:spacing w:before="62"/>
        <w:ind w:left="4217" w:right="4235"/>
        <w:jc w:val="center"/>
        <w:rPr>
          <w:rFonts w:ascii="Arial"/>
          <w:sz w:val="14"/>
          <w:szCs w:val="14"/>
        </w:rPr>
      </w:pPr>
      <w:r>
        <w:rPr>
          <w:rFonts w:ascii="Arial"/>
          <w:sz w:val="14"/>
        </w:rPr>
        <w:t xml:space="preserve">Email: </w:t>
      </w:r>
      <w:r w:rsidR="003F2B35" w:rsidRPr="003F2B35">
        <w:rPr>
          <w:rFonts w:ascii="Arial" w:hAnsi="Arial" w:cs="Arial"/>
          <w:color w:val="333333"/>
          <w:sz w:val="14"/>
          <w:szCs w:val="14"/>
          <w:shd w:val="clear" w:color="auto" w:fill="FFFFFF"/>
        </w:rPr>
        <w:t>k658995@mail.ru</w:t>
      </w:r>
    </w:p>
    <w:p w:rsidR="00AE3E37" w:rsidRDefault="00EE04B8" w:rsidP="003F2B35">
      <w:pPr>
        <w:spacing w:before="62"/>
        <w:ind w:left="4217" w:right="4235"/>
        <w:jc w:val="center"/>
        <w:rPr>
          <w:rFonts w:ascii="Arial"/>
          <w:sz w:val="19"/>
        </w:rPr>
      </w:pPr>
      <w:r>
        <w:rPr>
          <w:noProof/>
          <w:sz w:val="18"/>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080981" w:rsidRDefault="00EA7D51" w:rsidP="00EA7D51">
      <w:pPr>
        <w:autoSpaceDE w:val="0"/>
        <w:autoSpaceDN w:val="0"/>
        <w:adjustRightInd w:val="0"/>
        <w:rPr>
          <w:rFonts w:asciiTheme="minorHAnsi" w:hAnsiTheme="minorHAnsi"/>
          <w:sz w:val="18"/>
          <w:szCs w:val="18"/>
          <w:lang w:val="ru-RU"/>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3F2B35" w:rsidRPr="003F2B35">
        <w:rPr>
          <w:rFonts w:ascii="Arial" w:hAnsi="Arial" w:cs="Arial"/>
          <w:sz w:val="20"/>
          <w:szCs w:val="20"/>
        </w:rPr>
        <w:t>Valentin A. Krylov</w:t>
      </w:r>
      <w:r w:rsidRPr="00F35A62">
        <w:rPr>
          <w:sz w:val="20"/>
          <w:szCs w:val="20"/>
          <w:lang w:val="en-NZ"/>
        </w:rPr>
        <w:br/>
        <w:t>Contact number:</w:t>
      </w:r>
      <w:r w:rsidR="003F2B35" w:rsidRPr="003F2B35">
        <w:t xml:space="preserve"> </w:t>
      </w:r>
      <w:r w:rsidR="003F2B35" w:rsidRPr="003F2B35">
        <w:rPr>
          <w:sz w:val="18"/>
          <w:szCs w:val="18"/>
        </w:rPr>
        <w:t>+78314623228</w:t>
      </w:r>
    </w:p>
    <w:p w:rsidR="00EA7D51" w:rsidRPr="00F35A62" w:rsidRDefault="00EA7D51" w:rsidP="00EA7D51">
      <w:pPr>
        <w:autoSpaceDE w:val="0"/>
        <w:autoSpaceDN w:val="0"/>
        <w:adjustRightInd w:val="0"/>
        <w:rPr>
          <w:b/>
          <w:sz w:val="20"/>
          <w:szCs w:val="20"/>
          <w:lang w:val="en-NZ"/>
        </w:rPr>
      </w:pPr>
      <w:r w:rsidRPr="003F2B35">
        <w:rPr>
          <w:sz w:val="18"/>
          <w:szCs w:val="18"/>
          <w:lang w:val="en-NZ"/>
        </w:rPr>
        <w:t>Twitter account:</w:t>
      </w:r>
      <w:r w:rsidRPr="003F2B35">
        <w:rPr>
          <w:sz w:val="18"/>
          <w:szCs w:val="18"/>
          <w:lang w:val="en-NZ"/>
        </w:rPr>
        <w:br/>
      </w:r>
      <w:r w:rsidRPr="00F35A62">
        <w:rPr>
          <w:sz w:val="20"/>
          <w:szCs w:val="20"/>
          <w:lang w:val="en-NZ"/>
        </w:rPr>
        <w:t>Linked In account:</w:t>
      </w:r>
    </w:p>
    <w:p w:rsidR="00EA7D51" w:rsidRPr="00F35A62" w:rsidRDefault="00EA7D51" w:rsidP="00EA7D51">
      <w:pPr>
        <w:autoSpaceDE w:val="0"/>
        <w:autoSpaceDN w:val="0"/>
        <w:adjustRightInd w:val="0"/>
        <w:rPr>
          <w:sz w:val="20"/>
          <w:szCs w:val="20"/>
          <w:lang w:val="en-NZ"/>
        </w:rPr>
      </w:pPr>
      <w:r w:rsidRPr="003F2B35">
        <w:rPr>
          <w:b/>
          <w:sz w:val="20"/>
          <w:szCs w:val="20"/>
          <w:lang w:val="en-NZ"/>
        </w:rPr>
        <w:t>Session</w:t>
      </w:r>
      <w:r w:rsidRPr="00F35A62">
        <w:rPr>
          <w:sz w:val="20"/>
          <w:szCs w:val="20"/>
          <w:lang w:val="en-NZ"/>
        </w:rPr>
        <w:t xml:space="preserve"> name/ number: </w:t>
      </w:r>
      <w:r w:rsidR="003F2B35" w:rsidRPr="003F2B35">
        <w:rPr>
          <w:rFonts w:ascii="Arial" w:hAnsi="Arial" w:cs="Arial"/>
          <w:sz w:val="20"/>
          <w:szCs w:val="20"/>
        </w:rPr>
        <w:t xml:space="preserve">Gas </w:t>
      </w:r>
      <w:r w:rsidR="003F2B35" w:rsidRPr="003F2B35">
        <w:rPr>
          <w:rFonts w:ascii="Arial" w:hAnsi="Arial" w:cs="Arial"/>
          <w:color w:val="212529"/>
          <w:sz w:val="20"/>
          <w:szCs w:val="20"/>
          <w:lang w:eastAsia="ru-RU"/>
        </w:rPr>
        <w:t>Chromatography</w:t>
      </w:r>
      <w:r w:rsidRPr="00F35A62">
        <w:rPr>
          <w:sz w:val="20"/>
          <w:szCs w:val="20"/>
          <w:lang w:val="en-NZ"/>
        </w:rPr>
        <w:br/>
        <w:t>Category:</w:t>
      </w:r>
      <w:r w:rsidR="003F2B35" w:rsidRPr="003F2B35">
        <w:rPr>
          <w:rFonts w:asciiTheme="minorHAnsi" w:hAnsiTheme="minorHAnsi"/>
          <w:sz w:val="20"/>
          <w:szCs w:val="20"/>
        </w:rPr>
        <w:t xml:space="preserve"> </w:t>
      </w:r>
      <w:r w:rsidRPr="00F35A62">
        <w:rPr>
          <w:sz w:val="20"/>
          <w:szCs w:val="20"/>
          <w:lang w:val="en-NZ"/>
        </w:rPr>
        <w:t>Oral presentation</w:t>
      </w:r>
    </w:p>
    <w:p w:rsidR="00080981" w:rsidRPr="00080981" w:rsidRDefault="00080981" w:rsidP="000534A1">
      <w:pPr>
        <w:spacing w:before="39"/>
        <w:ind w:left="100"/>
        <w:rPr>
          <w:rFonts w:ascii="Minion Pro"/>
          <w:b/>
          <w:sz w:val="20"/>
          <w:lang w:val="ru-RU"/>
        </w:rPr>
        <w:sectPr w:rsidR="00080981" w:rsidRPr="00080981" w:rsidSect="008E5477">
          <w:type w:val="continuous"/>
          <w:pgSz w:w="11910" w:h="16840"/>
          <w:pgMar w:top="995" w:right="600" w:bottom="840" w:left="620" w:header="720" w:footer="720" w:gutter="0"/>
          <w:cols w:space="720"/>
        </w:sectPr>
      </w:pPr>
    </w:p>
    <w:p w:rsidR="00AE3E37" w:rsidRDefault="00AE3E37" w:rsidP="00080981">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ADF" w:rsidRDefault="007D1ADF">
      <w:r>
        <w:separator/>
      </w:r>
    </w:p>
  </w:endnote>
  <w:endnote w:type="continuationSeparator" w:id="0">
    <w:p w:rsidR="007D1ADF" w:rsidRDefault="007D1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NewtonA-Bold">
    <w:altName w:val="Times New Roman"/>
    <w:panose1 w:val="00000000000000000000"/>
    <w:charset w:val="00"/>
    <w:family w:val="roman"/>
    <w:notTrueType/>
    <w:pitch w:val="default"/>
  </w:font>
  <w:font w:name="NewtonA-BoldItalic">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NewtonA-Italic">
    <w:altName w:val="Times New Roman"/>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 w:name="GulliverRM">
    <w:panose1 w:val="00000000000000000000"/>
    <w:charset w:val="CC"/>
    <w:family w:val="auto"/>
    <w:notTrueType/>
    <w:pitch w:val="default"/>
    <w:sig w:usb0="00000201" w:usb1="00000000" w:usb2="00000000" w:usb3="00000000" w:csb0="00000004" w:csb1="00000000"/>
  </w:font>
  <w:font w:name="OneGulliverA">
    <w:panose1 w:val="00000000000000000000"/>
    <w:charset w:val="CC"/>
    <w:family w:val="auto"/>
    <w:notTrueType/>
    <w:pitch w:val="default"/>
    <w:sig w:usb0="00000201" w:usb1="00000000" w:usb2="00000000" w:usb3="00000000" w:csb0="00000004" w:csb1="00000000"/>
  </w:font>
  <w:font w:name="MathematicalPi-Six">
    <w:altName w:val="Times New Roman"/>
    <w:panose1 w:val="00000000000000000000"/>
    <w:charset w:val="00"/>
    <w:family w:val="auto"/>
    <w:notTrueType/>
    <w:pitch w:val="default"/>
    <w:sig w:usb0="00000003" w:usb1="00000000" w:usb2="00000000" w:usb3="00000000" w:csb0="00000001" w:csb1="00000000"/>
  </w:font>
  <w:font w:name="TwCenMT-Regular">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EE04B8">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ADF" w:rsidRDefault="007D1ADF">
      <w:r>
        <w:separator/>
      </w:r>
    </w:p>
  </w:footnote>
  <w:footnote w:type="continuationSeparator" w:id="0">
    <w:p w:rsidR="007D1ADF" w:rsidRDefault="007D1A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03D9"/>
    <w:rsid w:val="0006797A"/>
    <w:rsid w:val="00080981"/>
    <w:rsid w:val="000B4CAA"/>
    <w:rsid w:val="000D34D3"/>
    <w:rsid w:val="000E2911"/>
    <w:rsid w:val="001263DF"/>
    <w:rsid w:val="00234CA4"/>
    <w:rsid w:val="00292ED9"/>
    <w:rsid w:val="00351D9B"/>
    <w:rsid w:val="00380299"/>
    <w:rsid w:val="003F2B35"/>
    <w:rsid w:val="00404E5B"/>
    <w:rsid w:val="00414F7B"/>
    <w:rsid w:val="004355DC"/>
    <w:rsid w:val="004749B4"/>
    <w:rsid w:val="00475D20"/>
    <w:rsid w:val="00494130"/>
    <w:rsid w:val="004F3523"/>
    <w:rsid w:val="00526258"/>
    <w:rsid w:val="00590D60"/>
    <w:rsid w:val="005973B9"/>
    <w:rsid w:val="005B3A56"/>
    <w:rsid w:val="006060CE"/>
    <w:rsid w:val="0061505C"/>
    <w:rsid w:val="0063497F"/>
    <w:rsid w:val="00714354"/>
    <w:rsid w:val="007D1ADF"/>
    <w:rsid w:val="00873DF0"/>
    <w:rsid w:val="008756E6"/>
    <w:rsid w:val="00897EC5"/>
    <w:rsid w:val="008A0763"/>
    <w:rsid w:val="008E5477"/>
    <w:rsid w:val="009B2D44"/>
    <w:rsid w:val="00A07E82"/>
    <w:rsid w:val="00A52075"/>
    <w:rsid w:val="00A9710C"/>
    <w:rsid w:val="00AE3E37"/>
    <w:rsid w:val="00B10B6C"/>
    <w:rsid w:val="00B21A57"/>
    <w:rsid w:val="00BE6743"/>
    <w:rsid w:val="00C33602"/>
    <w:rsid w:val="00C56C74"/>
    <w:rsid w:val="00CB5C74"/>
    <w:rsid w:val="00CD6F55"/>
    <w:rsid w:val="00D24458"/>
    <w:rsid w:val="00DE3104"/>
    <w:rsid w:val="00DE6170"/>
    <w:rsid w:val="00E30AAC"/>
    <w:rsid w:val="00E95D97"/>
    <w:rsid w:val="00EA7D51"/>
    <w:rsid w:val="00ED0FBA"/>
    <w:rsid w:val="00EE04B8"/>
    <w:rsid w:val="00F046EA"/>
    <w:rsid w:val="00F15FAD"/>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rsid w:val="00526258"/>
    <w:pPr>
      <w:widowControl/>
      <w:spacing w:before="100" w:beforeAutospacing="1" w:after="100" w:afterAutospacing="1"/>
    </w:pPr>
    <w:rPr>
      <w:rFonts w:ascii="Gulim" w:eastAsia="Gulim" w:hAnsi="Gulim" w:cs="Times New Roman"/>
      <w:sz w:val="24"/>
      <w:szCs w:val="20"/>
      <w:lang w:eastAsia="ko-KR"/>
    </w:rPr>
  </w:style>
  <w:style w:type="character" w:customStyle="1" w:styleId="fontstyle01">
    <w:name w:val="fontstyle01"/>
    <w:basedOn w:val="DefaultParagraphFont"/>
    <w:rsid w:val="00526258"/>
    <w:rPr>
      <w:rFonts w:ascii="NewtonA-Bold" w:hAnsi="NewtonA-Bold" w:hint="default"/>
      <w:b/>
      <w:bCs/>
      <w:i w:val="0"/>
      <w:iCs w:val="0"/>
      <w:color w:val="000000"/>
      <w:sz w:val="36"/>
      <w:szCs w:val="36"/>
    </w:rPr>
  </w:style>
  <w:style w:type="character" w:customStyle="1" w:styleId="fontstyle21">
    <w:name w:val="fontstyle21"/>
    <w:basedOn w:val="DefaultParagraphFont"/>
    <w:rsid w:val="00526258"/>
    <w:rPr>
      <w:rFonts w:ascii="NewtonA-BoldItalic" w:hAnsi="NewtonA-BoldItalic" w:hint="default"/>
      <w:b/>
      <w:bCs/>
      <w:i/>
      <w:iCs/>
      <w:color w:val="000000"/>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rsid w:val="00526258"/>
    <w:pPr>
      <w:widowControl/>
      <w:spacing w:before="100" w:beforeAutospacing="1" w:after="100" w:afterAutospacing="1"/>
    </w:pPr>
    <w:rPr>
      <w:rFonts w:ascii="Gulim" w:eastAsia="Gulim" w:hAnsi="Gulim" w:cs="Times New Roman"/>
      <w:sz w:val="24"/>
      <w:szCs w:val="20"/>
      <w:lang w:eastAsia="ko-KR"/>
    </w:rPr>
  </w:style>
  <w:style w:type="character" w:customStyle="1" w:styleId="fontstyle01">
    <w:name w:val="fontstyle01"/>
    <w:basedOn w:val="DefaultParagraphFont"/>
    <w:rsid w:val="00526258"/>
    <w:rPr>
      <w:rFonts w:ascii="NewtonA-Bold" w:hAnsi="NewtonA-Bold" w:hint="default"/>
      <w:b/>
      <w:bCs/>
      <w:i w:val="0"/>
      <w:iCs w:val="0"/>
      <w:color w:val="000000"/>
      <w:sz w:val="36"/>
      <w:szCs w:val="36"/>
    </w:rPr>
  </w:style>
  <w:style w:type="character" w:customStyle="1" w:styleId="fontstyle21">
    <w:name w:val="fontstyle21"/>
    <w:basedOn w:val="DefaultParagraphFont"/>
    <w:rsid w:val="00526258"/>
    <w:rPr>
      <w:rFonts w:ascii="NewtonA-BoldItalic" w:hAnsi="NewtonA-BoldItalic" w:hint="default"/>
      <w:b/>
      <w:bCs/>
      <w:i/>
      <w:iCs/>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dx.doi.org/10.1016/j.foodchem.2016.11.019"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x-mol.com/journal/advanceSearchResult?author=Antonelli,%20Andre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x-mol.com/journal/advanceSearchResult?author=Zanasi,%20Luca"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www.x-mol.com/journal/advanceSearchResult?author=Masino,%20Francesca" TargetMode="External"/><Relationship Id="rId4" Type="http://schemas.openxmlformats.org/officeDocument/2006/relationships/settings" Target="settings.xml"/><Relationship Id="rId9" Type="http://schemas.openxmlformats.org/officeDocument/2006/relationships/hyperlink" Target="http://www.x-mol.com/journal/advanceSearchResult?author=Montevecchi,%20Giuseppe"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4126</Characters>
  <Application>Microsoft Office Word</Application>
  <DocSecurity>0</DocSecurity>
  <Lines>34</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4840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Ravali Mudigiri</cp:lastModifiedBy>
  <cp:revision>2</cp:revision>
  <dcterms:created xsi:type="dcterms:W3CDTF">2022-07-23T05:28:00Z</dcterms:created>
  <dcterms:modified xsi:type="dcterms:W3CDTF">2022-07-23T05:28:00Z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