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B8F02" w14:textId="77777777" w:rsidR="00EF57EC" w:rsidRPr="0009268B" w:rsidRDefault="00EF57EC" w:rsidP="00EF57EC">
      <w:pPr>
        <w:jc w:val="center"/>
        <w:rPr>
          <w:rFonts w:asciiTheme="majorBidi" w:hAnsiTheme="majorBidi" w:cstheme="majorBidi"/>
          <w:b/>
          <w:bCs/>
          <w:sz w:val="24"/>
          <w:szCs w:val="24"/>
        </w:rPr>
      </w:pPr>
      <w:r>
        <w:rPr>
          <w:rFonts w:asciiTheme="majorBidi" w:hAnsiTheme="majorBidi" w:cstheme="majorBidi"/>
          <w:b/>
          <w:bCs/>
          <w:sz w:val="24"/>
          <w:szCs w:val="24"/>
        </w:rPr>
        <w:t>Eco-Friendly Successive Resolution and Purity Study for the Analysis of Triple Combination in a Market Formulation Advised to be Used During COVID-19 Pandemic</w:t>
      </w:r>
    </w:p>
    <w:p w14:paraId="4286948B" w14:textId="77777777" w:rsidR="0095026E" w:rsidRPr="0009268B" w:rsidRDefault="0095026E" w:rsidP="0095026E">
      <w:pPr>
        <w:pStyle w:val="05AHeading"/>
      </w:pPr>
      <w:r w:rsidRPr="0009268B">
        <w:t xml:space="preserve">Dina A. Ahmed </w:t>
      </w:r>
      <w:r w:rsidRPr="0009268B">
        <w:rPr>
          <w:vertAlign w:val="superscript"/>
        </w:rPr>
        <w:t>a</w:t>
      </w:r>
      <w:r w:rsidRPr="0009268B">
        <w:t xml:space="preserve">* and </w:t>
      </w:r>
      <w:proofErr w:type="spellStart"/>
      <w:r w:rsidRPr="0009268B">
        <w:t>Hayam</w:t>
      </w:r>
      <w:proofErr w:type="spellEnd"/>
      <w:r w:rsidRPr="0009268B">
        <w:t xml:space="preserve"> M. </w:t>
      </w:r>
      <w:proofErr w:type="spellStart"/>
      <w:r w:rsidRPr="0009268B">
        <w:t>Lotfy</w:t>
      </w:r>
      <w:proofErr w:type="spellEnd"/>
      <w:r w:rsidRPr="0009268B">
        <w:rPr>
          <w:vertAlign w:val="superscript"/>
        </w:rPr>
        <w:t xml:space="preserve"> </w:t>
      </w:r>
      <w:r>
        <w:rPr>
          <w:vertAlign w:val="superscript"/>
        </w:rPr>
        <w:t>a</w:t>
      </w:r>
    </w:p>
    <w:p w14:paraId="3FFD7508" w14:textId="77777777" w:rsidR="0095026E" w:rsidRDefault="0095026E" w:rsidP="0095026E">
      <w:pPr>
        <w:spacing w:after="0"/>
        <w:jc w:val="center"/>
        <w:rPr>
          <w:rFonts w:asciiTheme="majorBidi" w:hAnsiTheme="majorBidi" w:cstheme="majorBidi"/>
          <w:lang w:bidi="ar-EG"/>
        </w:rPr>
      </w:pPr>
      <w:r w:rsidRPr="0009268B">
        <w:rPr>
          <w:rFonts w:asciiTheme="majorBidi" w:hAnsiTheme="majorBidi" w:cstheme="majorBidi"/>
          <w:vertAlign w:val="superscript"/>
          <w:lang w:bidi="ar-EG"/>
        </w:rPr>
        <w:t xml:space="preserve">a </w:t>
      </w:r>
      <w:r w:rsidRPr="0009268B">
        <w:rPr>
          <w:rFonts w:asciiTheme="majorBidi" w:hAnsiTheme="majorBidi" w:cstheme="majorBidi"/>
          <w:lang w:bidi="ar-EG"/>
        </w:rPr>
        <w:t>Pharmaceutical Chemistry Department, Faculty of Pharmacy, Future University in Egypt, Cairo, Egypt</w:t>
      </w:r>
    </w:p>
    <w:p w14:paraId="797F9A41" w14:textId="77777777" w:rsidR="0095026E" w:rsidRDefault="00B64B38" w:rsidP="0095026E">
      <w:pPr>
        <w:spacing w:after="0"/>
        <w:jc w:val="center"/>
        <w:rPr>
          <w:rFonts w:asciiTheme="majorBidi" w:hAnsiTheme="majorBidi" w:cstheme="majorBidi"/>
          <w:lang w:bidi="ar-EG"/>
        </w:rPr>
      </w:pPr>
      <w:hyperlink r:id="rId4" w:history="1">
        <w:r w:rsidR="0095026E" w:rsidRPr="00A72154">
          <w:rPr>
            <w:rStyle w:val="Hyperlink"/>
            <w:rFonts w:asciiTheme="majorBidi" w:hAnsiTheme="majorBidi" w:cstheme="majorBidi"/>
            <w:lang w:bidi="ar-EG"/>
          </w:rPr>
          <w:t>Dina.abbass@fue.edu.eg</w:t>
        </w:r>
      </w:hyperlink>
    </w:p>
    <w:p w14:paraId="05A221D5" w14:textId="339A0350" w:rsidR="00EF57EC" w:rsidRPr="00EF57EC" w:rsidRDefault="00B64B38" w:rsidP="00EF57EC">
      <w:pPr>
        <w:spacing w:after="0"/>
        <w:jc w:val="center"/>
        <w:rPr>
          <w:rFonts w:asciiTheme="majorBidi" w:hAnsiTheme="majorBidi" w:cstheme="majorBidi"/>
          <w:lang w:bidi="ar-EG"/>
        </w:rPr>
      </w:pPr>
      <w:hyperlink r:id="rId5" w:history="1">
        <w:r w:rsidR="0095026E" w:rsidRPr="00A72154">
          <w:rPr>
            <w:rStyle w:val="Hyperlink"/>
            <w:rFonts w:asciiTheme="majorBidi" w:hAnsiTheme="majorBidi" w:cstheme="majorBidi"/>
            <w:lang w:bidi="ar-EG"/>
          </w:rPr>
          <w:t>Hayam.mahmoud@fue.edu.eg</w:t>
        </w:r>
      </w:hyperlink>
    </w:p>
    <w:p w14:paraId="5B4F9CDC" w14:textId="77777777" w:rsidR="00EF57EC" w:rsidRDefault="00EF57EC" w:rsidP="0095026E">
      <w:pPr>
        <w:jc w:val="both"/>
        <w:rPr>
          <w:rFonts w:asciiTheme="majorBidi" w:hAnsiTheme="majorBidi" w:cstheme="majorBidi"/>
          <w:b/>
          <w:bCs/>
          <w:sz w:val="24"/>
          <w:szCs w:val="24"/>
        </w:rPr>
      </w:pPr>
    </w:p>
    <w:p w14:paraId="195E6869" w14:textId="5C704D3A" w:rsidR="0095026E" w:rsidRPr="0009268B" w:rsidRDefault="0095026E" w:rsidP="0095026E">
      <w:pPr>
        <w:jc w:val="both"/>
        <w:rPr>
          <w:rFonts w:asciiTheme="majorBidi" w:hAnsiTheme="majorBidi" w:cstheme="majorBidi"/>
          <w:b/>
          <w:bCs/>
          <w:sz w:val="24"/>
          <w:szCs w:val="24"/>
        </w:rPr>
      </w:pPr>
      <w:r w:rsidRPr="0009268B">
        <w:rPr>
          <w:rFonts w:asciiTheme="majorBidi" w:hAnsiTheme="majorBidi" w:cstheme="majorBidi"/>
          <w:b/>
          <w:bCs/>
          <w:sz w:val="24"/>
          <w:szCs w:val="24"/>
        </w:rPr>
        <w:t xml:space="preserve">Abstract </w:t>
      </w:r>
    </w:p>
    <w:p w14:paraId="55D8410F" w14:textId="77777777" w:rsidR="0095026E" w:rsidRDefault="0095026E" w:rsidP="0095026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presents a novel green spectrophotometric analytical approach for the analysis of ACE-Proxyvon</w:t>
      </w:r>
      <w:r w:rsidRPr="0009268B">
        <w:rPr>
          <w:rFonts w:asciiTheme="majorBidi" w:eastAsia="Times New Roman" w:hAnsiTheme="majorBidi" w:cstheme="majorBidi"/>
          <w:sz w:val="24"/>
          <w:szCs w:val="24"/>
          <w:vertAlign w:val="superscript"/>
        </w:rPr>
        <w:t>®</w:t>
      </w:r>
      <w:r>
        <w:rPr>
          <w:rFonts w:ascii="Times New Roman" w:eastAsia="Times New Roman" w:hAnsi="Times New Roman" w:cs="Times New Roman"/>
          <w:sz w:val="24"/>
          <w:szCs w:val="24"/>
        </w:rPr>
        <w:t xml:space="preserve"> tablet dosage form recommended to be used in managing the aggressive symptoms of COVID-19 attack as well as dealing with the tiresome post vaccination symptoms. This study focused on the analysis of ternary mixture containing aceclofenac (ACE), paracetamol (PAR) and rabeprazole (RAB) in challengeable ratio; 10:50:1, respectively in the presence of the PAR's potential degradation product; </w:t>
      </w:r>
      <w:r w:rsidRPr="00012299">
        <w:rPr>
          <w:rFonts w:ascii="Times New Roman" w:eastAsia="Times New Roman" w:hAnsi="Times New Roman" w:cs="Times New Roman"/>
          <w:sz w:val="24"/>
          <w:szCs w:val="24"/>
        </w:rPr>
        <w:t>4-aminophenol (4-AP)</w:t>
      </w:r>
      <w:r>
        <w:rPr>
          <w:rFonts w:ascii="Times New Roman" w:eastAsia="Times New Roman" w:hAnsi="Times New Roman" w:cs="Times New Roman"/>
          <w:sz w:val="24"/>
          <w:szCs w:val="24"/>
        </w:rPr>
        <w:t xml:space="preserve">. A Successful compromise was achieved between both resolution and in-silico sample enrichment techniques via employing successive manner based on the application of constant multiplication coupled with spectrum subtraction spectrophotometric method (CM-SS) to extract the parent spectrum for each proposed drug. The extracted parent spectra could be successfully used to monitor the purity of the drug and used effectively to detect </w:t>
      </w:r>
      <w:r w:rsidRPr="0009268B">
        <w:rPr>
          <w:rFonts w:ascii="Times New Roman" w:eastAsia="Times New Roman" w:hAnsi="Times New Roman" w:cs="Times New Roman"/>
          <w:sz w:val="24"/>
          <w:szCs w:val="24"/>
        </w:rPr>
        <w:t>counterfeit products</w:t>
      </w:r>
      <w:r>
        <w:rPr>
          <w:rFonts w:ascii="Times New Roman" w:eastAsia="Times New Roman" w:hAnsi="Times New Roman" w:cs="Times New Roman"/>
          <w:sz w:val="24"/>
          <w:szCs w:val="24"/>
        </w:rPr>
        <w:t xml:space="preserve">. </w:t>
      </w:r>
      <w:r w:rsidRPr="0009268B">
        <w:rPr>
          <w:rFonts w:ascii="Times New Roman" w:eastAsia="Times New Roman" w:hAnsi="Times New Roman" w:cs="Times New Roman"/>
          <w:sz w:val="24"/>
          <w:szCs w:val="24"/>
        </w:rPr>
        <w:t xml:space="preserve">Synthetic mixtures and commercial medicine were constructively analyzed using the proposed </w:t>
      </w:r>
      <w:r>
        <w:rPr>
          <w:rFonts w:ascii="Times New Roman" w:eastAsia="Times New Roman" w:hAnsi="Times New Roman" w:cs="Times New Roman"/>
          <w:sz w:val="24"/>
          <w:szCs w:val="24"/>
        </w:rPr>
        <w:t>technique</w:t>
      </w:r>
      <w:r w:rsidRPr="0009268B">
        <w:rPr>
          <w:rFonts w:ascii="Times New Roman" w:eastAsia="Times New Roman" w:hAnsi="Times New Roman" w:cs="Times New Roman"/>
          <w:sz w:val="24"/>
          <w:szCs w:val="24"/>
        </w:rPr>
        <w:t xml:space="preserve"> while maintaining calibration graphs to be linear over ranges;</w:t>
      </w:r>
      <w:r w:rsidRPr="0009268B">
        <w:rPr>
          <w:rFonts w:ascii="Arial" w:hAnsi="Arial" w:cs="Arial"/>
          <w:color w:val="333333"/>
          <w:sz w:val="26"/>
          <w:szCs w:val="26"/>
        </w:rPr>
        <w:t xml:space="preserve"> </w:t>
      </w:r>
      <w:r w:rsidRPr="0009268B">
        <w:rPr>
          <w:rFonts w:asciiTheme="majorBidi" w:hAnsiTheme="majorBidi" w:cstheme="majorBidi"/>
          <w:sz w:val="24"/>
          <w:szCs w:val="24"/>
          <w:lang w:bidi="ar-EG"/>
        </w:rPr>
        <w:t xml:space="preserve">4.0-40.0 µg/mL </w:t>
      </w:r>
      <w:r w:rsidRPr="0009268B">
        <w:rPr>
          <w:rFonts w:ascii="Times New Roman" w:eastAsia="Times New Roman" w:hAnsi="Times New Roman" w:cs="Times New Roman"/>
          <w:sz w:val="24"/>
          <w:szCs w:val="24"/>
        </w:rPr>
        <w:t xml:space="preserve">for ACE, </w:t>
      </w:r>
      <w:r w:rsidRPr="0009268B">
        <w:rPr>
          <w:rFonts w:asciiTheme="majorBidi" w:hAnsiTheme="majorBidi" w:cstheme="majorBidi"/>
          <w:sz w:val="24"/>
          <w:szCs w:val="24"/>
          <w:lang w:bidi="ar-EG"/>
        </w:rPr>
        <w:t xml:space="preserve">2.0-14.0 µg/mL </w:t>
      </w:r>
      <w:r w:rsidRPr="0009268B">
        <w:rPr>
          <w:rFonts w:ascii="Times New Roman" w:eastAsia="Times New Roman" w:hAnsi="Times New Roman" w:cs="Times New Roman"/>
          <w:sz w:val="24"/>
          <w:szCs w:val="24"/>
        </w:rPr>
        <w:t xml:space="preserve">for PAR and </w:t>
      </w:r>
      <w:r w:rsidRPr="0009268B">
        <w:rPr>
          <w:rFonts w:asciiTheme="majorBidi" w:hAnsiTheme="majorBidi" w:cstheme="majorBidi"/>
          <w:sz w:val="24"/>
          <w:szCs w:val="24"/>
          <w:lang w:bidi="ar-EG"/>
        </w:rPr>
        <w:t>4.0-30.0 µg/</w:t>
      </w:r>
      <w:r w:rsidRPr="0009268B">
        <w:rPr>
          <w:rFonts w:asciiTheme="majorBidi" w:hAnsiTheme="majorBidi" w:cstheme="majorBidi"/>
          <w:sz w:val="24"/>
          <w:szCs w:val="24"/>
        </w:rPr>
        <w:t>mL</w:t>
      </w:r>
      <w:r w:rsidRPr="0009268B">
        <w:rPr>
          <w:rFonts w:ascii="Times New Roman" w:eastAsia="Times New Roman" w:hAnsi="Times New Roman" w:cs="Times New Roman"/>
          <w:sz w:val="24"/>
          <w:szCs w:val="24"/>
        </w:rPr>
        <w:t xml:space="preserve"> for RAB.</w:t>
      </w:r>
      <w:r w:rsidRPr="0009268B">
        <w:rPr>
          <w:rFonts w:ascii="Arial" w:hAnsi="Arial" w:cs="Arial"/>
          <w:color w:val="333333"/>
          <w:sz w:val="26"/>
          <w:szCs w:val="26"/>
        </w:rPr>
        <w:t xml:space="preserve"> </w:t>
      </w:r>
      <w:r>
        <w:rPr>
          <w:rFonts w:ascii="Times New Roman" w:eastAsia="Times New Roman" w:hAnsi="Times New Roman" w:cs="Times New Roman"/>
          <w:sz w:val="24"/>
          <w:szCs w:val="24"/>
        </w:rPr>
        <w:t>Additionally</w:t>
      </w:r>
      <w:r w:rsidRPr="0009268B">
        <w:rPr>
          <w:rFonts w:ascii="Times New Roman" w:eastAsia="Times New Roman" w:hAnsi="Times New Roman" w:cs="Times New Roman"/>
          <w:sz w:val="24"/>
          <w:szCs w:val="24"/>
        </w:rPr>
        <w:t>, methods' validation was confirmed via performing exhaustive statistical treatment of the experimental findings</w:t>
      </w:r>
      <w:r>
        <w:rPr>
          <w:rFonts w:ascii="Times New Roman" w:eastAsia="Times New Roman" w:hAnsi="Times New Roman" w:cs="Times New Roman"/>
          <w:sz w:val="24"/>
          <w:szCs w:val="24"/>
        </w:rPr>
        <w:t xml:space="preserve">. Finally, </w:t>
      </w:r>
      <w:r w:rsidRPr="0009268B">
        <w:rPr>
          <w:rFonts w:ascii="Times New Roman" w:eastAsia="Times New Roman" w:hAnsi="Times New Roman" w:cs="Times New Roman"/>
          <w:sz w:val="24"/>
          <w:szCs w:val="24"/>
        </w:rPr>
        <w:t>method’</w:t>
      </w:r>
      <w:r>
        <w:rPr>
          <w:rFonts w:ascii="Times New Roman" w:eastAsia="Times New Roman" w:hAnsi="Times New Roman" w:cs="Times New Roman"/>
          <w:sz w:val="24"/>
          <w:szCs w:val="24"/>
        </w:rPr>
        <w:t>s</w:t>
      </w:r>
      <w:r w:rsidRPr="0009268B">
        <w:rPr>
          <w:rFonts w:ascii="Times New Roman" w:eastAsia="Times New Roman" w:hAnsi="Times New Roman" w:cs="Times New Roman"/>
          <w:sz w:val="24"/>
          <w:szCs w:val="24"/>
        </w:rPr>
        <w:t xml:space="preserve"> greenness profile was finally guaranteed through analytical greenness (AGREE) metric assessment tool.</w:t>
      </w:r>
      <w:r>
        <w:rPr>
          <w:rFonts w:ascii="Times New Roman" w:eastAsia="Times New Roman" w:hAnsi="Times New Roman" w:cs="Times New Roman"/>
          <w:sz w:val="24"/>
          <w:szCs w:val="24"/>
        </w:rPr>
        <w:t xml:space="preserve"> </w:t>
      </w:r>
    </w:p>
    <w:p w14:paraId="0D52D43A" w14:textId="44478AE3" w:rsidR="00EF57EC" w:rsidRDefault="00EF57EC" w:rsidP="00B14DA6">
      <w:pPr>
        <w:jc w:val="both"/>
        <w:rPr>
          <w:lang w:bidi="ar-EG"/>
        </w:rPr>
      </w:pPr>
      <w:r w:rsidRPr="00BE5231">
        <w:rPr>
          <w:rFonts w:asciiTheme="majorBidi" w:hAnsiTheme="majorBidi" w:cstheme="majorBidi"/>
          <w:b/>
          <w:bCs/>
          <w:i/>
          <w:iCs/>
        </w:rPr>
        <w:t>Keywords</w:t>
      </w:r>
      <w:r>
        <w:rPr>
          <w:rFonts w:asciiTheme="majorBidi" w:hAnsiTheme="majorBidi" w:cstheme="majorBidi"/>
        </w:rPr>
        <w:t xml:space="preserve">: </w:t>
      </w:r>
      <w:r w:rsidR="00B14DA6">
        <w:rPr>
          <w:rFonts w:asciiTheme="majorBidi" w:hAnsiTheme="majorBidi" w:cstheme="majorBidi"/>
          <w:i/>
          <w:iCs/>
          <w:sz w:val="24"/>
          <w:szCs w:val="24"/>
        </w:rPr>
        <w:t>G</w:t>
      </w:r>
      <w:r w:rsidR="00B14DA6" w:rsidRPr="00B14DA6">
        <w:rPr>
          <w:rFonts w:asciiTheme="majorBidi" w:hAnsiTheme="majorBidi" w:cstheme="majorBidi"/>
          <w:i/>
          <w:iCs/>
          <w:sz w:val="24"/>
          <w:szCs w:val="24"/>
        </w:rPr>
        <w:t xml:space="preserve">reen spectrophotometric </w:t>
      </w:r>
      <w:r w:rsidR="00B14DA6">
        <w:rPr>
          <w:rFonts w:asciiTheme="majorBidi" w:hAnsiTheme="majorBidi" w:cstheme="majorBidi"/>
          <w:i/>
          <w:iCs/>
          <w:sz w:val="24"/>
          <w:szCs w:val="24"/>
        </w:rPr>
        <w:t>analysis</w:t>
      </w:r>
      <w:r w:rsidR="00B14DA6" w:rsidRPr="00B14DA6">
        <w:rPr>
          <w:rFonts w:asciiTheme="majorBidi" w:hAnsiTheme="majorBidi" w:cstheme="majorBidi"/>
          <w:i/>
          <w:iCs/>
          <w:sz w:val="24"/>
          <w:szCs w:val="24"/>
        </w:rPr>
        <w:t xml:space="preserve">; </w:t>
      </w:r>
      <w:r>
        <w:rPr>
          <w:rFonts w:asciiTheme="majorBidi" w:hAnsiTheme="majorBidi" w:cstheme="majorBidi"/>
          <w:i/>
          <w:iCs/>
          <w:sz w:val="24"/>
          <w:szCs w:val="24"/>
        </w:rPr>
        <w:t>Triple</w:t>
      </w:r>
      <w:r w:rsidRPr="003752BA">
        <w:rPr>
          <w:rFonts w:asciiTheme="majorBidi" w:hAnsiTheme="majorBidi" w:cstheme="majorBidi"/>
          <w:i/>
          <w:iCs/>
          <w:sz w:val="24"/>
          <w:szCs w:val="24"/>
        </w:rPr>
        <w:t xml:space="preserve"> combination; </w:t>
      </w:r>
      <w:r w:rsidRPr="00EF57EC">
        <w:rPr>
          <w:rFonts w:asciiTheme="majorBidi" w:hAnsiTheme="majorBidi" w:cstheme="majorBidi"/>
          <w:i/>
          <w:iCs/>
          <w:sz w:val="24"/>
          <w:szCs w:val="24"/>
        </w:rPr>
        <w:t>COVID-19</w:t>
      </w:r>
      <w:r w:rsidRPr="00A1210E">
        <w:rPr>
          <w:rFonts w:asciiTheme="majorBidi" w:hAnsiTheme="majorBidi" w:cstheme="majorBidi"/>
          <w:i/>
          <w:iCs/>
          <w:sz w:val="24"/>
          <w:szCs w:val="24"/>
        </w:rPr>
        <w:t xml:space="preserve">; </w:t>
      </w:r>
      <w:r w:rsidR="00B14DA6">
        <w:rPr>
          <w:rFonts w:asciiTheme="majorBidi" w:hAnsiTheme="majorBidi" w:cstheme="majorBidi"/>
          <w:i/>
          <w:iCs/>
          <w:color w:val="000000"/>
          <w:sz w:val="24"/>
          <w:szCs w:val="24"/>
        </w:rPr>
        <w:t>AGREE</w:t>
      </w:r>
    </w:p>
    <w:sectPr w:rsidR="00EF57EC" w:rsidSect="00D910F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E"/>
    <w:rsid w:val="000B4E65"/>
    <w:rsid w:val="0022274B"/>
    <w:rsid w:val="0095026E"/>
    <w:rsid w:val="00B14DA6"/>
    <w:rsid w:val="00B64B38"/>
    <w:rsid w:val="00BC6C07"/>
    <w:rsid w:val="00C17CAC"/>
    <w:rsid w:val="00C32942"/>
    <w:rsid w:val="00D65092"/>
    <w:rsid w:val="00D910F2"/>
    <w:rsid w:val="00EF57EC"/>
    <w:rsid w:val="00F334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2183F"/>
  <w15:chartTrackingRefBased/>
  <w15:docId w15:val="{5D1D4E4C-7B0B-4C50-A33B-925649043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E"/>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026E"/>
    <w:rPr>
      <w:color w:val="0563C1" w:themeColor="hyperlink"/>
      <w:u w:val="single"/>
    </w:rPr>
  </w:style>
  <w:style w:type="paragraph" w:customStyle="1" w:styleId="05AHeading">
    <w:name w:val="05 A Heading"/>
    <w:autoRedefine/>
    <w:uiPriority w:val="99"/>
    <w:rsid w:val="0095026E"/>
    <w:pPr>
      <w:autoSpaceDE w:val="0"/>
      <w:autoSpaceDN w:val="0"/>
      <w:spacing w:before="240" w:after="0" w:line="360" w:lineRule="auto"/>
      <w:ind w:left="284"/>
      <w:jc w:val="center"/>
    </w:pPr>
    <w:rPr>
      <w:rFonts w:ascii="Times New Roman" w:eastAsia="Calibri" w:hAnsi="Times New Roman" w:cs="Times New Roman"/>
      <w:b/>
      <w:bCs/>
      <w:sz w:val="24"/>
      <w:szCs w:val="24"/>
      <w:lang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ayam.mahmoud@fue.edu.eg" TargetMode="External"/><Relationship Id="rId4" Type="http://schemas.openxmlformats.org/officeDocument/2006/relationships/hyperlink" Target="mailto:Dina.abbass@fue.edu.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Abbas Ahmed Mostafa</dc:creator>
  <cp:keywords/>
  <dc:description/>
  <cp:lastModifiedBy>Dina Abbas Ahmed Mostafa</cp:lastModifiedBy>
  <cp:revision>8</cp:revision>
  <dcterms:created xsi:type="dcterms:W3CDTF">2022-06-29T08:10:00Z</dcterms:created>
  <dcterms:modified xsi:type="dcterms:W3CDTF">2022-07-04T11:00:00Z</dcterms:modified>
</cp:coreProperties>
</file>