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742" w:rsidRDefault="00FB4742" w:rsidP="00FB4742">
      <w:pPr>
        <w:spacing w:after="0" w:line="240" w:lineRule="auto"/>
        <w:jc w:val="center"/>
        <w:rPr>
          <w:rFonts w:ascii="Times New Roman" w:hAnsi="Times New Roman" w:cs="Times New Roman"/>
          <w:b/>
        </w:rPr>
      </w:pPr>
      <w:r>
        <w:rPr>
          <w:rFonts w:ascii="Times New Roman" w:hAnsi="Times New Roman" w:cs="Times New Roman"/>
          <w:b/>
        </w:rPr>
        <w:t xml:space="preserve">Fabrication and characterization </w:t>
      </w:r>
      <w:r w:rsidRPr="00FB4742">
        <w:rPr>
          <w:rFonts w:ascii="Times New Roman" w:hAnsi="Times New Roman" w:cs="Times New Roman"/>
          <w:b/>
        </w:rPr>
        <w:t xml:space="preserve">of cross-linked CMC/PVP-co-poly (AMPS) based hydrogel for the sustained release of model drug metoprolol tartrate </w:t>
      </w:r>
    </w:p>
    <w:p w:rsidR="00FB4742" w:rsidRDefault="00FB4742" w:rsidP="00FB4742">
      <w:pPr>
        <w:spacing w:after="0" w:line="240" w:lineRule="auto"/>
        <w:jc w:val="center"/>
        <w:rPr>
          <w:rFonts w:ascii="Times New Roman" w:hAnsi="Times New Roman" w:cs="Times New Roman"/>
          <w:b/>
        </w:rPr>
      </w:pPr>
    </w:p>
    <w:p w:rsidR="00FB4742" w:rsidRPr="00FB4742" w:rsidRDefault="00FB4742" w:rsidP="00FB4742">
      <w:pPr>
        <w:spacing w:after="0" w:line="240" w:lineRule="auto"/>
        <w:jc w:val="center"/>
        <w:rPr>
          <w:rFonts w:ascii="Times New Roman" w:hAnsi="Times New Roman" w:cs="Times New Roman"/>
          <w:color w:val="000000" w:themeColor="text1"/>
        </w:rPr>
      </w:pPr>
      <w:bookmarkStart w:id="0" w:name="_GoBack"/>
      <w:r w:rsidRPr="00FB4742">
        <w:rPr>
          <w:rFonts w:ascii="Times New Roman" w:hAnsi="Times New Roman" w:cs="Times New Roman"/>
          <w:color w:val="000000" w:themeColor="text1"/>
        </w:rPr>
        <w:t xml:space="preserve">Akram </w:t>
      </w:r>
      <w:proofErr w:type="spellStart"/>
      <w:r w:rsidRPr="00FB4742">
        <w:rPr>
          <w:rFonts w:ascii="Times New Roman" w:hAnsi="Times New Roman" w:cs="Times New Roman"/>
          <w:color w:val="000000" w:themeColor="text1"/>
        </w:rPr>
        <w:t>Ashames</w:t>
      </w:r>
      <w:bookmarkEnd w:id="0"/>
      <w:proofErr w:type="spellEnd"/>
      <w:r w:rsidRPr="00FB4742">
        <w:rPr>
          <w:rFonts w:ascii="Times New Roman" w:hAnsi="Times New Roman" w:cs="Times New Roman"/>
          <w:color w:val="000000" w:themeColor="text1"/>
          <w:vertAlign w:val="superscript"/>
        </w:rPr>
        <w:t>*1,2</w:t>
      </w:r>
      <w:r w:rsidRPr="00FB4742">
        <w:rPr>
          <w:rFonts w:ascii="Times New Roman" w:hAnsi="Times New Roman" w:cs="Times New Roman"/>
          <w:color w:val="000000" w:themeColor="text1"/>
        </w:rPr>
        <w:t xml:space="preserve">, </w:t>
      </w:r>
      <w:proofErr w:type="spellStart"/>
      <w:r w:rsidRPr="00FB4742">
        <w:rPr>
          <w:rFonts w:ascii="Times New Roman" w:hAnsi="Times New Roman" w:cs="Times New Roman"/>
          <w:color w:val="000000" w:themeColor="text1"/>
        </w:rPr>
        <w:t>Fahad</w:t>
      </w:r>
      <w:proofErr w:type="spellEnd"/>
      <w:r w:rsidRPr="00FB4742">
        <w:rPr>
          <w:rFonts w:ascii="Times New Roman" w:hAnsi="Times New Roman" w:cs="Times New Roman"/>
          <w:color w:val="000000" w:themeColor="text1"/>
        </w:rPr>
        <w:t xml:space="preserve"> Pervaiz</w:t>
      </w:r>
      <w:r w:rsidRPr="00FB4742">
        <w:rPr>
          <w:rFonts w:ascii="Times New Roman" w:hAnsi="Times New Roman" w:cs="Times New Roman"/>
          <w:color w:val="000000" w:themeColor="text1"/>
          <w:vertAlign w:val="superscript"/>
        </w:rPr>
        <w:t>3</w:t>
      </w:r>
      <w:r w:rsidRPr="00FB4742">
        <w:rPr>
          <w:rFonts w:ascii="Times New Roman" w:hAnsi="Times New Roman" w:cs="Times New Roman"/>
          <w:color w:val="000000" w:themeColor="text1"/>
        </w:rPr>
        <w:t xml:space="preserve">, </w:t>
      </w:r>
      <w:proofErr w:type="spellStart"/>
      <w:r w:rsidRPr="00FB4742">
        <w:rPr>
          <w:rFonts w:ascii="Times New Roman" w:hAnsi="Times New Roman" w:cs="Times New Roman"/>
          <w:color w:val="000000" w:themeColor="text1"/>
        </w:rPr>
        <w:t>Moawia</w:t>
      </w:r>
      <w:proofErr w:type="spellEnd"/>
      <w:r w:rsidRPr="00FB4742">
        <w:rPr>
          <w:rFonts w:ascii="Times New Roman" w:hAnsi="Times New Roman" w:cs="Times New Roman"/>
          <w:color w:val="000000" w:themeColor="text1"/>
        </w:rPr>
        <w:t xml:space="preserve"> Al-Tabakha</w:t>
      </w:r>
      <w:r w:rsidRPr="00FB4742">
        <w:rPr>
          <w:rFonts w:ascii="Times New Roman" w:hAnsi="Times New Roman" w:cs="Times New Roman"/>
          <w:color w:val="000000" w:themeColor="text1"/>
          <w:vertAlign w:val="superscript"/>
        </w:rPr>
        <w:t>1,2</w:t>
      </w:r>
      <w:r w:rsidRPr="00FB4742">
        <w:rPr>
          <w:rFonts w:ascii="Times New Roman" w:hAnsi="Times New Roman" w:cs="Times New Roman"/>
          <w:color w:val="000000" w:themeColor="text1"/>
        </w:rPr>
        <w:t xml:space="preserve">, </w:t>
      </w:r>
      <w:proofErr w:type="spellStart"/>
      <w:r w:rsidRPr="00FB4742">
        <w:rPr>
          <w:rFonts w:ascii="Times New Roman" w:hAnsi="Times New Roman" w:cs="Times New Roman"/>
          <w:color w:val="000000" w:themeColor="text1"/>
        </w:rPr>
        <w:t>Kanza</w:t>
      </w:r>
      <w:proofErr w:type="spellEnd"/>
      <w:r w:rsidRPr="00FB4742">
        <w:rPr>
          <w:rFonts w:ascii="Times New Roman" w:hAnsi="Times New Roman" w:cs="Times New Roman"/>
          <w:color w:val="000000" w:themeColor="text1"/>
        </w:rPr>
        <w:t xml:space="preserve"> Khalid</w:t>
      </w:r>
      <w:r w:rsidRPr="00FB4742">
        <w:rPr>
          <w:rFonts w:ascii="Times New Roman" w:hAnsi="Times New Roman" w:cs="Times New Roman"/>
          <w:color w:val="000000" w:themeColor="text1"/>
          <w:vertAlign w:val="superscript"/>
        </w:rPr>
        <w:t>3</w:t>
      </w:r>
      <w:r w:rsidRPr="00FB4742">
        <w:rPr>
          <w:rFonts w:ascii="Times New Roman" w:hAnsi="Times New Roman" w:cs="Times New Roman"/>
          <w:color w:val="000000" w:themeColor="text1"/>
        </w:rPr>
        <w:t xml:space="preserve">, </w:t>
      </w:r>
      <w:proofErr w:type="spellStart"/>
      <w:r w:rsidRPr="00FB4742">
        <w:rPr>
          <w:rFonts w:ascii="Times New Roman" w:hAnsi="Times New Roman" w:cs="Times New Roman"/>
          <w:color w:val="000000" w:themeColor="text1"/>
        </w:rPr>
        <w:t>Nageeb</w:t>
      </w:r>
      <w:proofErr w:type="spellEnd"/>
      <w:r w:rsidRPr="00FB4742">
        <w:rPr>
          <w:rFonts w:ascii="Times New Roman" w:hAnsi="Times New Roman" w:cs="Times New Roman"/>
          <w:color w:val="000000" w:themeColor="text1"/>
        </w:rPr>
        <w:t xml:space="preserve"> Hassan</w:t>
      </w:r>
      <w:r w:rsidRPr="00FB4742">
        <w:rPr>
          <w:rFonts w:ascii="Times New Roman" w:hAnsi="Times New Roman" w:cs="Times New Roman"/>
          <w:color w:val="000000" w:themeColor="text1"/>
          <w:vertAlign w:val="superscript"/>
        </w:rPr>
        <w:t>1,2</w:t>
      </w:r>
      <w:r w:rsidRPr="00FB4742">
        <w:rPr>
          <w:rFonts w:ascii="Times New Roman" w:hAnsi="Times New Roman" w:cs="Times New Roman"/>
          <w:color w:val="000000" w:themeColor="text1"/>
        </w:rPr>
        <w:t xml:space="preserve">, </w:t>
      </w:r>
      <w:proofErr w:type="spellStart"/>
      <w:r w:rsidRPr="00FB4742">
        <w:rPr>
          <w:rFonts w:ascii="Times New Roman" w:hAnsi="Times New Roman" w:cs="Times New Roman"/>
          <w:color w:val="000000" w:themeColor="text1"/>
        </w:rPr>
        <w:t>Hina</w:t>
      </w:r>
      <w:proofErr w:type="spellEnd"/>
      <w:r w:rsidRPr="00FB4742">
        <w:rPr>
          <w:rFonts w:ascii="Times New Roman" w:hAnsi="Times New Roman" w:cs="Times New Roman"/>
          <w:color w:val="000000" w:themeColor="text1"/>
        </w:rPr>
        <w:t xml:space="preserve"> Shoukat</w:t>
      </w:r>
      <w:r w:rsidRPr="00FB4742">
        <w:rPr>
          <w:rFonts w:ascii="Times New Roman" w:hAnsi="Times New Roman" w:cs="Times New Roman"/>
          <w:color w:val="000000" w:themeColor="text1"/>
          <w:vertAlign w:val="superscript"/>
        </w:rPr>
        <w:t>3</w:t>
      </w:r>
      <w:r w:rsidRPr="00FB4742">
        <w:rPr>
          <w:rFonts w:ascii="Times New Roman" w:hAnsi="Times New Roman" w:cs="Times New Roman"/>
          <w:color w:val="000000" w:themeColor="text1"/>
        </w:rPr>
        <w:t>, Manal Buabeid</w:t>
      </w:r>
      <w:r w:rsidRPr="00FB4742">
        <w:rPr>
          <w:rFonts w:ascii="Times New Roman" w:hAnsi="Times New Roman" w:cs="Times New Roman"/>
          <w:color w:val="000000" w:themeColor="text1"/>
          <w:vertAlign w:val="superscript"/>
        </w:rPr>
        <w:t>1,2</w:t>
      </w:r>
      <w:r w:rsidRPr="00FB4742">
        <w:rPr>
          <w:rFonts w:ascii="Times New Roman" w:hAnsi="Times New Roman" w:cs="Times New Roman"/>
          <w:color w:val="000000" w:themeColor="text1"/>
        </w:rPr>
        <w:t>, Ghulam Murtaza</w:t>
      </w:r>
      <w:r w:rsidRPr="00FB4742">
        <w:rPr>
          <w:rFonts w:ascii="Times New Roman" w:hAnsi="Times New Roman" w:cs="Times New Roman"/>
          <w:color w:val="000000" w:themeColor="text1"/>
          <w:vertAlign w:val="superscript"/>
        </w:rPr>
        <w:t>*4</w:t>
      </w:r>
    </w:p>
    <w:p w:rsidR="00FB4742" w:rsidRPr="00FB4742" w:rsidRDefault="00FB4742" w:rsidP="00FB4742">
      <w:pPr>
        <w:spacing w:after="0" w:line="240" w:lineRule="auto"/>
        <w:jc w:val="center"/>
        <w:rPr>
          <w:rFonts w:ascii="Times New Roman" w:hAnsi="Times New Roman" w:cs="Times New Roman"/>
          <w:color w:val="000000" w:themeColor="text1"/>
        </w:rPr>
      </w:pPr>
    </w:p>
    <w:p w:rsidR="00FB4742" w:rsidRPr="00FB4742" w:rsidRDefault="00FB4742" w:rsidP="00FB4742">
      <w:pPr>
        <w:spacing w:after="0" w:line="240" w:lineRule="auto"/>
        <w:jc w:val="center"/>
        <w:rPr>
          <w:rFonts w:ascii="Times New Roman" w:hAnsi="Times New Roman" w:cs="Times New Roman"/>
          <w:color w:val="000000" w:themeColor="text1"/>
        </w:rPr>
      </w:pPr>
      <w:r w:rsidRPr="00FB4742">
        <w:rPr>
          <w:rFonts w:ascii="Times New Roman" w:hAnsi="Times New Roman" w:cs="Times New Roman"/>
          <w:color w:val="000000" w:themeColor="text1"/>
          <w:vertAlign w:val="superscript"/>
        </w:rPr>
        <w:t>1</w:t>
      </w:r>
      <w:r w:rsidRPr="00FB4742">
        <w:rPr>
          <w:rFonts w:ascii="Times New Roman" w:hAnsi="Times New Roman" w:cs="Times New Roman"/>
          <w:color w:val="000000" w:themeColor="text1"/>
        </w:rPr>
        <w:t>College of Pharmacy and Health Sciences, Ajman University, Ajman 346, United Arab Emirates</w:t>
      </w:r>
      <w:bookmarkStart w:id="1" w:name="_gjdgxs"/>
      <w:bookmarkEnd w:id="1"/>
    </w:p>
    <w:p w:rsidR="00FB4742" w:rsidRPr="00FB4742" w:rsidRDefault="00FB4742" w:rsidP="00FB4742">
      <w:pPr>
        <w:spacing w:after="0" w:line="240" w:lineRule="auto"/>
        <w:jc w:val="center"/>
        <w:rPr>
          <w:rFonts w:ascii="Times New Roman" w:hAnsi="Times New Roman" w:cs="Times New Roman"/>
          <w:color w:val="000000" w:themeColor="text1"/>
        </w:rPr>
      </w:pPr>
      <w:r w:rsidRPr="00FB4742">
        <w:rPr>
          <w:rFonts w:ascii="Times New Roman" w:hAnsi="Times New Roman" w:cs="Times New Roman"/>
          <w:color w:val="000000" w:themeColor="text1"/>
          <w:vertAlign w:val="superscript"/>
        </w:rPr>
        <w:t>2</w:t>
      </w:r>
      <w:r w:rsidRPr="00FB4742">
        <w:rPr>
          <w:rFonts w:ascii="Times New Roman" w:hAnsi="Times New Roman" w:cs="Times New Roman"/>
          <w:color w:val="000000" w:themeColor="text1"/>
        </w:rPr>
        <w:t>Medical and Bio-allied Health Sciences Research Centre, Ajman University, Ajman, United Arab Emirates</w:t>
      </w:r>
    </w:p>
    <w:p w:rsidR="00FB4742" w:rsidRPr="00FB4742" w:rsidRDefault="00FB4742" w:rsidP="00FB4742">
      <w:pPr>
        <w:spacing w:after="0" w:line="240" w:lineRule="auto"/>
        <w:jc w:val="center"/>
        <w:rPr>
          <w:rFonts w:ascii="Times New Roman" w:hAnsi="Times New Roman" w:cs="Times New Roman"/>
        </w:rPr>
      </w:pPr>
      <w:r w:rsidRPr="00FB4742">
        <w:rPr>
          <w:rFonts w:ascii="Times New Roman" w:hAnsi="Times New Roman" w:cs="Times New Roman"/>
          <w:color w:val="000000" w:themeColor="text1"/>
          <w:vertAlign w:val="superscript"/>
        </w:rPr>
        <w:t>3</w:t>
      </w:r>
      <w:r w:rsidRPr="00FB4742">
        <w:rPr>
          <w:rFonts w:ascii="Times New Roman" w:hAnsi="Times New Roman" w:cs="Times New Roman"/>
          <w:color w:val="000000" w:themeColor="text1"/>
        </w:rPr>
        <w:t>Department of Pharmaceutics,</w:t>
      </w:r>
      <w:r w:rsidRPr="00FB4742">
        <w:rPr>
          <w:rFonts w:ascii="Times New Roman" w:hAnsi="Times New Roman" w:cs="Times New Roman"/>
          <w:b/>
          <w:color w:val="000000" w:themeColor="text1"/>
        </w:rPr>
        <w:t xml:space="preserve"> </w:t>
      </w:r>
      <w:r w:rsidRPr="00FB4742">
        <w:rPr>
          <w:rFonts w:ascii="Times New Roman" w:hAnsi="Times New Roman" w:cs="Times New Roman"/>
          <w:color w:val="000000" w:themeColor="text1"/>
        </w:rPr>
        <w:t xml:space="preserve">Faculty of pharmacy, The Islamia University of Bahawalpur, </w:t>
      </w:r>
      <w:r w:rsidRPr="00FB4742">
        <w:rPr>
          <w:rFonts w:ascii="Times New Roman" w:hAnsi="Times New Roman" w:cs="Times New Roman"/>
        </w:rPr>
        <w:t>Pakistan.</w:t>
      </w:r>
    </w:p>
    <w:p w:rsidR="00FB4742" w:rsidRPr="00FB4742" w:rsidRDefault="00FB4742" w:rsidP="00FB4742">
      <w:pPr>
        <w:spacing w:after="0" w:line="240" w:lineRule="auto"/>
        <w:jc w:val="center"/>
        <w:rPr>
          <w:rFonts w:ascii="Times New Roman" w:hAnsi="Times New Roman" w:cs="Times New Roman"/>
        </w:rPr>
      </w:pPr>
      <w:r w:rsidRPr="00FB4742">
        <w:rPr>
          <w:rFonts w:ascii="Times New Roman" w:hAnsi="Times New Roman" w:cs="Times New Roman"/>
          <w:color w:val="000000"/>
          <w:vertAlign w:val="superscript"/>
        </w:rPr>
        <w:t>4</w:t>
      </w:r>
      <w:r w:rsidRPr="00FB4742">
        <w:rPr>
          <w:rFonts w:ascii="Times New Roman" w:hAnsi="Times New Roman" w:cs="Times New Roman"/>
          <w:color w:val="000000"/>
        </w:rPr>
        <w:t>Department of Pharmacy, COMSATS University Islamabad, Lahore Campus 54000, Pakistan.</w:t>
      </w:r>
    </w:p>
    <w:p w:rsidR="00FB4742" w:rsidRPr="00FB4742" w:rsidRDefault="00FB4742" w:rsidP="00FB4742">
      <w:pPr>
        <w:spacing w:line="480" w:lineRule="auto"/>
        <w:jc w:val="both"/>
        <w:rPr>
          <w:rFonts w:ascii="Times New Roman" w:hAnsi="Times New Roman" w:cs="Times New Roman"/>
        </w:rPr>
      </w:pPr>
    </w:p>
    <w:p w:rsidR="00FB4742" w:rsidRPr="00FB4742" w:rsidRDefault="00FB4742" w:rsidP="00FB4742">
      <w:pPr>
        <w:spacing w:line="240" w:lineRule="auto"/>
        <w:jc w:val="both"/>
        <w:rPr>
          <w:rFonts w:ascii="Times New Roman" w:hAnsi="Times New Roman" w:cs="Times New Roman"/>
          <w:b/>
        </w:rPr>
      </w:pPr>
      <w:r w:rsidRPr="00FB4742">
        <w:rPr>
          <w:rFonts w:ascii="Times New Roman" w:hAnsi="Times New Roman" w:cs="Times New Roman"/>
          <w:bCs/>
        </w:rPr>
        <w:t>*</w:t>
      </w:r>
      <w:r w:rsidRPr="00FB4742">
        <w:rPr>
          <w:rFonts w:ascii="Times New Roman" w:hAnsi="Times New Roman" w:cs="Times New Roman"/>
          <w:b/>
        </w:rPr>
        <w:t>Corresponding Author:</w:t>
      </w:r>
    </w:p>
    <w:p w:rsidR="00FB4742" w:rsidRPr="00FB4742" w:rsidRDefault="00FB4742" w:rsidP="00FB4742">
      <w:pPr>
        <w:rPr>
          <w:bCs/>
          <w:sz w:val="20"/>
          <w:szCs w:val="20"/>
          <w:lang w:val="fr-CA"/>
        </w:rPr>
      </w:pPr>
      <w:r w:rsidRPr="00FB4742">
        <w:rPr>
          <w:rFonts w:ascii="Times New Roman" w:hAnsi="Times New Roman" w:cs="Times New Roman"/>
          <w:bCs/>
        </w:rPr>
        <w:t>Email: a.ashames@ajman.ac.ae (Akram Ashames); gmdogar356@gmail.com (Ghulam Murtaza)</w:t>
      </w:r>
    </w:p>
    <w:p w:rsidR="00FB4742" w:rsidRPr="00FB4742" w:rsidRDefault="00FB4742" w:rsidP="00FB4742">
      <w:pPr>
        <w:rPr>
          <w:sz w:val="20"/>
          <w:szCs w:val="20"/>
          <w:lang w:val="fr-CA"/>
        </w:rPr>
      </w:pPr>
    </w:p>
    <w:p w:rsidR="00FB4742" w:rsidRPr="00FB4742" w:rsidRDefault="00FB4742" w:rsidP="00FB4742">
      <w:pPr>
        <w:pStyle w:val="Heading1"/>
        <w:jc w:val="both"/>
        <w:rPr>
          <w:rFonts w:cs="Times New Roman"/>
          <w:sz w:val="22"/>
          <w:szCs w:val="22"/>
        </w:rPr>
      </w:pPr>
      <w:bookmarkStart w:id="2" w:name="_Toc65575654"/>
      <w:r w:rsidRPr="00FB4742">
        <w:rPr>
          <w:rFonts w:cs="Times New Roman"/>
          <w:sz w:val="22"/>
          <w:szCs w:val="22"/>
        </w:rPr>
        <w:t>Abstract</w:t>
      </w:r>
      <w:bookmarkEnd w:id="2"/>
    </w:p>
    <w:p w:rsidR="00FB4742" w:rsidRPr="00FB4742" w:rsidRDefault="00FB4742" w:rsidP="00FB4742">
      <w:pPr>
        <w:spacing w:line="360" w:lineRule="auto"/>
        <w:jc w:val="both"/>
        <w:rPr>
          <w:rFonts w:ascii="Times New Roman" w:hAnsi="Times New Roman" w:cs="Times New Roman"/>
        </w:rPr>
      </w:pPr>
      <w:r w:rsidRPr="00FB4742">
        <w:rPr>
          <w:rFonts w:ascii="Times New Roman" w:hAnsi="Times New Roman" w:cs="Times New Roman"/>
        </w:rPr>
        <w:t xml:space="preserve">This research aims to fabricate and characterize chemically cross-linked CMC/PVP-co-poly (AMPS) based hydrogel for the sustained release of model drug metoprolol tartrate through free radical polymerization technique. CMC/PVP-co-poly (AMPS) hydrogels were formulated by the free radical polymerization technique. Carboxymethyl cellulose crosslinked chemically with AMPS with a constant ratio of PVP by the ethylene glycol </w:t>
      </w:r>
      <w:proofErr w:type="spellStart"/>
      <w:r w:rsidRPr="00FB4742">
        <w:rPr>
          <w:rFonts w:ascii="Times New Roman" w:hAnsi="Times New Roman" w:cs="Times New Roman"/>
        </w:rPr>
        <w:t>dimethacrylate</w:t>
      </w:r>
      <w:proofErr w:type="spellEnd"/>
      <w:r w:rsidRPr="00FB4742">
        <w:rPr>
          <w:rFonts w:ascii="Times New Roman" w:hAnsi="Times New Roman" w:cs="Times New Roman"/>
        </w:rPr>
        <w:t xml:space="preserve"> as the cross-linker in the existence of sodium hydrogen sulfite/ammonium </w:t>
      </w:r>
      <w:proofErr w:type="spellStart"/>
      <w:r w:rsidRPr="00FB4742">
        <w:rPr>
          <w:rFonts w:ascii="Times New Roman" w:hAnsi="Times New Roman" w:cs="Times New Roman"/>
        </w:rPr>
        <w:t>peroxodisulfate</w:t>
      </w:r>
      <w:proofErr w:type="spellEnd"/>
      <w:r w:rsidRPr="00FB4742">
        <w:rPr>
          <w:rFonts w:ascii="Times New Roman" w:hAnsi="Times New Roman" w:cs="Times New Roman"/>
        </w:rPr>
        <w:t xml:space="preserve"> as initiators. CMC based hydrogels were fabricated by using different concentrations of polymer, monomer, and cross-linker. Dynamic swelling, sol-gal fraction, and percent drug release were performed along with some characterizations such as FTIR, XRD, TGA, DSC, and SEM. In-vitro drug release and swelling were performed at 1.2 and 6.8 pH to determine the sustained release pattern and pH-responsive behavior. These parameters are directly linked with the different ratios of cross-linker, polymer, and monomer. XRD, SEM, and FTIR show the successful grafting of constitutes and formation of a stable hydrogel. While the DSC and TGA confirm the thermodynamic stability of the hydrogel. The swelling of hydrogels increases as the ratio of monomer rises while decreases with a rise in the ratio of polymer and cross-linker. In-vitro gel fraction and drug release also depend on the ratios of polymer, monomer, and cross-linker. CMC/PVP-co-poly (AMPS) hydrogels can be considered as the potential system for the sustained delivery of model drug metoprolol tartrate for prolonged disease treatment with reduced dosing frequency and enhanced patient compliance.</w:t>
      </w:r>
      <w:r w:rsidRPr="00FB4742">
        <w:rPr>
          <w:sz w:val="20"/>
          <w:szCs w:val="20"/>
        </w:rPr>
        <w:t xml:space="preserve"> </w:t>
      </w:r>
      <w:r w:rsidRPr="00FB4742">
        <w:rPr>
          <w:rFonts w:ascii="Times New Roman" w:hAnsi="Times New Roman" w:cs="Times New Roman"/>
        </w:rPr>
        <w:t xml:space="preserve">Box-Behnken Design was used to optimize CMC/PVP-co-poly (AMPS) hydrogel by varying the content of reactants such as; polymer (CMC), monomer (AMPS), and crosslinker (EGDMA). </w:t>
      </w:r>
    </w:p>
    <w:p w:rsidR="000E7628" w:rsidRPr="00FB4742" w:rsidRDefault="000E7628">
      <w:pPr>
        <w:rPr>
          <w:sz w:val="20"/>
          <w:szCs w:val="20"/>
        </w:rPr>
      </w:pPr>
    </w:p>
    <w:sectPr w:rsidR="000E7628" w:rsidRPr="00FB47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742"/>
    <w:rsid w:val="000E7628"/>
    <w:rsid w:val="006A1D7B"/>
    <w:rsid w:val="00FB47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742"/>
  </w:style>
  <w:style w:type="paragraph" w:styleId="Heading1">
    <w:name w:val="heading 1"/>
    <w:basedOn w:val="Normal"/>
    <w:next w:val="Normal"/>
    <w:link w:val="Heading1Char"/>
    <w:uiPriority w:val="9"/>
    <w:qFormat/>
    <w:rsid w:val="00FB4742"/>
    <w:pPr>
      <w:keepNext/>
      <w:keepLines/>
      <w:spacing w:before="240" w:after="0" w:line="360" w:lineRule="auto"/>
      <w:outlineLvl w:val="0"/>
    </w:pPr>
    <w:rPr>
      <w:rFonts w:ascii="Times New Roman" w:eastAsiaTheme="majorEastAsia" w:hAnsi="Times New Roman" w:cstheme="majorBidi"/>
      <w:b/>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742"/>
    <w:rPr>
      <w:rFonts w:ascii="Times New Roman" w:eastAsiaTheme="majorEastAsia" w:hAnsi="Times New Roman" w:cstheme="majorBidi"/>
      <w:b/>
      <w:color w:val="000000" w:themeColor="text1"/>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742"/>
  </w:style>
  <w:style w:type="paragraph" w:styleId="Heading1">
    <w:name w:val="heading 1"/>
    <w:basedOn w:val="Normal"/>
    <w:next w:val="Normal"/>
    <w:link w:val="Heading1Char"/>
    <w:uiPriority w:val="9"/>
    <w:qFormat/>
    <w:rsid w:val="00FB4742"/>
    <w:pPr>
      <w:keepNext/>
      <w:keepLines/>
      <w:spacing w:before="240" w:after="0" w:line="360" w:lineRule="auto"/>
      <w:outlineLvl w:val="0"/>
    </w:pPr>
    <w:rPr>
      <w:rFonts w:ascii="Times New Roman" w:eastAsiaTheme="majorEastAsia" w:hAnsi="Times New Roman" w:cstheme="majorBidi"/>
      <w:b/>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742"/>
    <w:rPr>
      <w:rFonts w:ascii="Times New Roman" w:eastAsiaTheme="majorEastAsia" w:hAnsi="Times New Roman" w:cstheme="majorBidi"/>
      <w:b/>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395</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Akram Ashames</dc:creator>
  <cp:lastModifiedBy>pharmacology2021</cp:lastModifiedBy>
  <cp:revision>2</cp:revision>
  <dcterms:created xsi:type="dcterms:W3CDTF">2022-07-18T10:16:00Z</dcterms:created>
  <dcterms:modified xsi:type="dcterms:W3CDTF">2022-07-18T10:16:00Z</dcterms:modified>
</cp:coreProperties>
</file>