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415" w:rsidRDefault="00D47415" w:rsidP="00D47415">
      <w:pPr>
        <w:pStyle w:val="Heading1"/>
        <w:spacing w:line="360" w:lineRule="auto"/>
        <w:ind w:left="-5"/>
        <w:jc w:val="both"/>
      </w:pPr>
      <w:bookmarkStart w:id="0" w:name="_Toc86840952"/>
      <w:bookmarkStart w:id="1" w:name="_GoBack"/>
      <w:r>
        <w:t>ABSTRACT</w:t>
      </w:r>
      <w:bookmarkEnd w:id="0"/>
      <w:bookmarkEnd w:id="1"/>
      <w:r>
        <w:t xml:space="preserve"> </w:t>
      </w:r>
    </w:p>
    <w:p w:rsidR="00D47415" w:rsidRDefault="00D47415" w:rsidP="00D47415">
      <w:pPr>
        <w:spacing w:after="112" w:line="360" w:lineRule="auto"/>
        <w:ind w:left="0" w:right="0" w:firstLine="0"/>
      </w:pPr>
      <w:r>
        <w:t xml:space="preserve">Traditional medicine has been widely used to overcome health related problem in majority of the regions in the world. The most commonly used traditional medicines are traditional Chinese medicine, traditional Korean medicine and Ayurveda. Maldivians also rely on traditional medicine to overcome health problems. Dhivehi </w:t>
      </w:r>
      <w:proofErr w:type="spellStart"/>
      <w:r>
        <w:t>bey</w:t>
      </w:r>
      <w:proofErr w:type="spellEnd"/>
      <w:r>
        <w:t xml:space="preserve"> </w:t>
      </w:r>
      <w:proofErr w:type="spellStart"/>
      <w:r>
        <w:t>Thakoo</w:t>
      </w:r>
      <w:proofErr w:type="spellEnd"/>
      <w:r>
        <w:t xml:space="preserve"> </w:t>
      </w:r>
      <w:proofErr w:type="spellStart"/>
      <w:r>
        <w:t>sarubathu</w:t>
      </w:r>
      <w:proofErr w:type="spellEnd"/>
      <w:r>
        <w:t xml:space="preserve">, is a traditional medicine formulated for children having diarrhea and vomiting and has been widely used in Maldives. It consists of main two ingredients which are </w:t>
      </w:r>
      <w:proofErr w:type="spellStart"/>
      <w:r>
        <w:t>liquorice</w:t>
      </w:r>
      <w:proofErr w:type="spellEnd"/>
      <w:r>
        <w:t xml:space="preserve"> (</w:t>
      </w:r>
      <w:proofErr w:type="spellStart"/>
      <w:r w:rsidRPr="005B129C">
        <w:rPr>
          <w:rFonts w:asciiTheme="majorBidi" w:hAnsiTheme="majorBidi" w:cstheme="majorBidi"/>
          <w:szCs w:val="24"/>
          <w:shd w:val="clear" w:color="auto" w:fill="FFFFFF"/>
        </w:rPr>
        <w:t>Glycyrrhiza</w:t>
      </w:r>
      <w:proofErr w:type="spellEnd"/>
      <w:r w:rsidRPr="005B129C">
        <w:rPr>
          <w:rFonts w:asciiTheme="majorBidi" w:hAnsiTheme="majorBidi" w:cstheme="majorBidi"/>
          <w:szCs w:val="24"/>
          <w:shd w:val="clear" w:color="auto" w:fill="FFFFFF"/>
        </w:rPr>
        <w:t xml:space="preserve"> </w:t>
      </w:r>
      <w:proofErr w:type="spellStart"/>
      <w:r w:rsidRPr="005B129C">
        <w:rPr>
          <w:rFonts w:asciiTheme="majorBidi" w:hAnsiTheme="majorBidi" w:cstheme="majorBidi"/>
          <w:szCs w:val="24"/>
          <w:shd w:val="clear" w:color="auto" w:fill="FFFFFF"/>
        </w:rPr>
        <w:t>glabra</w:t>
      </w:r>
      <w:proofErr w:type="spellEnd"/>
      <w:r w:rsidRPr="005B129C">
        <w:rPr>
          <w:rFonts w:asciiTheme="majorBidi" w:hAnsiTheme="majorBidi" w:cstheme="majorBidi"/>
          <w:szCs w:val="24"/>
          <w:shd w:val="clear" w:color="auto" w:fill="FFFFFF"/>
        </w:rPr>
        <w:t xml:space="preserve"> </w:t>
      </w:r>
      <w:proofErr w:type="spellStart"/>
      <w:r w:rsidRPr="005B129C">
        <w:rPr>
          <w:rFonts w:asciiTheme="majorBidi" w:hAnsiTheme="majorBidi" w:cstheme="majorBidi"/>
          <w:szCs w:val="24"/>
          <w:shd w:val="clear" w:color="auto" w:fill="FFFFFF"/>
        </w:rPr>
        <w:t>linn</w:t>
      </w:r>
      <w:proofErr w:type="spellEnd"/>
      <w:r>
        <w:rPr>
          <w:rFonts w:asciiTheme="majorBidi" w:hAnsiTheme="majorBidi" w:cstheme="majorBidi"/>
          <w:szCs w:val="24"/>
          <w:shd w:val="clear" w:color="auto" w:fill="FFFFFF"/>
        </w:rPr>
        <w:t xml:space="preserve">) </w:t>
      </w:r>
      <w:r>
        <w:t>and Saffron (</w:t>
      </w:r>
      <w:r w:rsidRPr="005B129C">
        <w:rPr>
          <w:rFonts w:asciiTheme="majorBidi" w:hAnsiTheme="majorBidi" w:cstheme="majorBidi"/>
          <w:szCs w:val="24"/>
          <w:shd w:val="clear" w:color="auto" w:fill="FFFFFF"/>
        </w:rPr>
        <w:t xml:space="preserve">Crocus </w:t>
      </w:r>
      <w:proofErr w:type="spellStart"/>
      <w:r w:rsidRPr="005B129C">
        <w:rPr>
          <w:rFonts w:asciiTheme="majorBidi" w:hAnsiTheme="majorBidi" w:cstheme="majorBidi"/>
          <w:szCs w:val="24"/>
          <w:shd w:val="clear" w:color="auto" w:fill="FFFFFF"/>
        </w:rPr>
        <w:t>satvus</w:t>
      </w:r>
      <w:proofErr w:type="spellEnd"/>
      <w:r>
        <w:rPr>
          <w:rFonts w:asciiTheme="majorBidi" w:hAnsiTheme="majorBidi" w:cstheme="majorBidi"/>
          <w:szCs w:val="24"/>
          <w:shd w:val="clear" w:color="auto" w:fill="FFFFFF"/>
        </w:rPr>
        <w:t>)</w:t>
      </w:r>
      <w:r>
        <w:t xml:space="preserve">. These two major ingredients have many health benefits such as antifungal, antiviral and antibacterial properties. Although there are many medicinal benefits the safety of </w:t>
      </w:r>
      <w:proofErr w:type="spellStart"/>
      <w:r>
        <w:t>thakoo</w:t>
      </w:r>
      <w:proofErr w:type="spellEnd"/>
      <w:r>
        <w:t xml:space="preserve"> </w:t>
      </w:r>
      <w:proofErr w:type="spellStart"/>
      <w:r>
        <w:t>sarubathu</w:t>
      </w:r>
      <w:proofErr w:type="spellEnd"/>
      <w:r>
        <w:t xml:space="preserve"> is still unknown. Therefore, this study is conducted and the aim was to determine the safety of the </w:t>
      </w:r>
      <w:proofErr w:type="spellStart"/>
      <w:r>
        <w:t>thakoo</w:t>
      </w:r>
      <w:proofErr w:type="spellEnd"/>
      <w:r>
        <w:t xml:space="preserve"> </w:t>
      </w:r>
      <w:proofErr w:type="spellStart"/>
      <w:r>
        <w:t>sarubathu</w:t>
      </w:r>
      <w:proofErr w:type="spellEnd"/>
      <w:r>
        <w:t xml:space="preserve"> in terms of chemical and microbial contaminants. This will be the first study conducted on </w:t>
      </w:r>
      <w:proofErr w:type="spellStart"/>
      <w:r>
        <w:t>Thakoo</w:t>
      </w:r>
      <w:proofErr w:type="spellEnd"/>
      <w:r>
        <w:t xml:space="preserve"> </w:t>
      </w:r>
      <w:proofErr w:type="spellStart"/>
      <w:r>
        <w:t>sarubathu</w:t>
      </w:r>
      <w:proofErr w:type="spellEnd"/>
      <w:r>
        <w:t xml:space="preserve">. The main objectives of the study are to </w:t>
      </w:r>
      <w:proofErr w:type="spellStart"/>
      <w:r>
        <w:t>asses</w:t>
      </w:r>
      <w:proofErr w:type="spellEnd"/>
      <w:r>
        <w:t xml:space="preserve"> the adulterants, microbial and heavy metal contaminants in </w:t>
      </w:r>
      <w:proofErr w:type="spellStart"/>
      <w:r>
        <w:t>thakoo</w:t>
      </w:r>
      <w:proofErr w:type="spellEnd"/>
      <w:r>
        <w:t xml:space="preserve"> </w:t>
      </w:r>
      <w:proofErr w:type="spellStart"/>
      <w:r>
        <w:t>sarubathu</w:t>
      </w:r>
      <w:proofErr w:type="spellEnd"/>
      <w:r>
        <w:t xml:space="preserve">.  For the methodology 2 samples (200ml) were purchased from local traditional medicine shop in </w:t>
      </w:r>
      <w:proofErr w:type="spellStart"/>
      <w:r>
        <w:t>Hulhumale</w:t>
      </w:r>
      <w:proofErr w:type="spellEnd"/>
      <w:r>
        <w:t xml:space="preserve"> and stored in MNU until sent to SGS Lanka Laboratory </w:t>
      </w:r>
      <w:proofErr w:type="spellStart"/>
      <w:r>
        <w:t>Pvt</w:t>
      </w:r>
      <w:proofErr w:type="spellEnd"/>
      <w:r>
        <w:t xml:space="preserve"> Ltd for analysis. To test for aspirin and paracetamol USP 35 was used which involved the use of near infrared spectroscopy. For test for heavy metals atomic absorption spectroscopy was used. To test for microbial contaminants a series of accredited methods was used. According to results, it was found that none of the adulterant was detected. Also, heavy metals </w:t>
      </w:r>
      <w:proofErr w:type="spellStart"/>
      <w:r>
        <w:t>Pb</w:t>
      </w:r>
      <w:proofErr w:type="spellEnd"/>
      <w:r>
        <w:t xml:space="preserve">, As, Cd, Cr, Cu, </w:t>
      </w:r>
      <w:proofErr w:type="spellStart"/>
      <w:r>
        <w:t>Tl</w:t>
      </w:r>
      <w:proofErr w:type="spellEnd"/>
      <w:r>
        <w:t xml:space="preserve">, </w:t>
      </w:r>
      <w:proofErr w:type="spellStart"/>
      <w:r>
        <w:t>Mn</w:t>
      </w:r>
      <w:proofErr w:type="spellEnd"/>
      <w:r>
        <w:t xml:space="preserve"> and Hg was not detected. The aerobic bacteria and coliforms were low and not detected and salmonella </w:t>
      </w:r>
      <w:proofErr w:type="spellStart"/>
      <w:r>
        <w:t>spp</w:t>
      </w:r>
      <w:proofErr w:type="spellEnd"/>
      <w:r>
        <w:t xml:space="preserve"> was absent in the samples of </w:t>
      </w:r>
      <w:proofErr w:type="spellStart"/>
      <w:r>
        <w:t>thakoo</w:t>
      </w:r>
      <w:proofErr w:type="spellEnd"/>
      <w:r>
        <w:t xml:space="preserve"> </w:t>
      </w:r>
      <w:proofErr w:type="spellStart"/>
      <w:r>
        <w:t>sarubathu</w:t>
      </w:r>
      <w:proofErr w:type="spellEnd"/>
      <w:r>
        <w:t xml:space="preserve">. Overall, results indicate that </w:t>
      </w:r>
      <w:proofErr w:type="spellStart"/>
      <w:r>
        <w:t>thakoo</w:t>
      </w:r>
      <w:proofErr w:type="spellEnd"/>
      <w:r>
        <w:t xml:space="preserve"> </w:t>
      </w:r>
      <w:proofErr w:type="spellStart"/>
      <w:r>
        <w:t>sarubathu</w:t>
      </w:r>
      <w:proofErr w:type="spellEnd"/>
      <w:r>
        <w:t xml:space="preserve"> is safe for children to consume. The formulation, bottling and storage of </w:t>
      </w:r>
      <w:proofErr w:type="spellStart"/>
      <w:r>
        <w:t>thakoo</w:t>
      </w:r>
      <w:proofErr w:type="spellEnd"/>
      <w:r>
        <w:t xml:space="preserve"> </w:t>
      </w:r>
      <w:proofErr w:type="spellStart"/>
      <w:r>
        <w:t>sarubathu</w:t>
      </w:r>
      <w:proofErr w:type="spellEnd"/>
      <w:r>
        <w:t xml:space="preserve"> during the production is very hygienic. It is recommended more researches needs to be done on traditional medicines to determine contaminations for safety and better quality of the products.  </w:t>
      </w:r>
    </w:p>
    <w:p w:rsidR="00D47415" w:rsidRDefault="00D47415" w:rsidP="00D47415">
      <w:pPr>
        <w:spacing w:after="112" w:line="360" w:lineRule="auto"/>
        <w:ind w:left="0" w:right="0" w:firstLine="0"/>
      </w:pPr>
      <w:r w:rsidRPr="00B957F1">
        <w:rPr>
          <w:b/>
          <w:bCs/>
        </w:rPr>
        <w:t>Keywords:</w:t>
      </w:r>
      <w:r>
        <w:t xml:space="preserve"> </w:t>
      </w:r>
      <w:proofErr w:type="spellStart"/>
      <w:r>
        <w:t>Thakoo</w:t>
      </w:r>
      <w:proofErr w:type="spellEnd"/>
      <w:r>
        <w:t xml:space="preserve"> </w:t>
      </w:r>
      <w:proofErr w:type="spellStart"/>
      <w:r>
        <w:t>sarubathu</w:t>
      </w:r>
      <w:proofErr w:type="spellEnd"/>
      <w:r>
        <w:t xml:space="preserve">, Traditional medicine, Dhivehi </w:t>
      </w:r>
      <w:proofErr w:type="spellStart"/>
      <w:r>
        <w:t>beys</w:t>
      </w:r>
      <w:proofErr w:type="spellEnd"/>
      <w:r>
        <w:t xml:space="preserve">, </w:t>
      </w:r>
      <w:proofErr w:type="spellStart"/>
      <w:r w:rsidRPr="00B957F1">
        <w:rPr>
          <w:i/>
          <w:iCs/>
        </w:rPr>
        <w:t>Glycyrrhiza</w:t>
      </w:r>
      <w:proofErr w:type="spellEnd"/>
      <w:r w:rsidRPr="00B957F1">
        <w:rPr>
          <w:i/>
          <w:iCs/>
        </w:rPr>
        <w:t xml:space="preserve"> </w:t>
      </w:r>
      <w:proofErr w:type="spellStart"/>
      <w:r w:rsidRPr="00B957F1">
        <w:rPr>
          <w:i/>
          <w:iCs/>
        </w:rPr>
        <w:t>glabra</w:t>
      </w:r>
      <w:proofErr w:type="spellEnd"/>
      <w:r>
        <w:t xml:space="preserve">, </w:t>
      </w:r>
      <w:proofErr w:type="spellStart"/>
      <w:r>
        <w:t>liquourice</w:t>
      </w:r>
      <w:proofErr w:type="spellEnd"/>
      <w:r>
        <w:t xml:space="preserve">, </w:t>
      </w:r>
      <w:r w:rsidRPr="00B957F1">
        <w:rPr>
          <w:i/>
          <w:iCs/>
        </w:rPr>
        <w:t xml:space="preserve">Crocus </w:t>
      </w:r>
      <w:proofErr w:type="spellStart"/>
      <w:r w:rsidRPr="00B957F1">
        <w:rPr>
          <w:i/>
          <w:iCs/>
        </w:rPr>
        <w:t>satvus</w:t>
      </w:r>
      <w:proofErr w:type="spellEnd"/>
      <w:r>
        <w:t>, Saffron, Heavy metals, Adulterants, Microbial contaminants</w:t>
      </w:r>
    </w:p>
    <w:p w:rsidR="00D47415" w:rsidRDefault="00D47415" w:rsidP="00D47415">
      <w:pPr>
        <w:spacing w:after="113" w:line="259" w:lineRule="auto"/>
        <w:ind w:left="0" w:right="0" w:firstLine="0"/>
        <w:jc w:val="left"/>
      </w:pPr>
    </w:p>
    <w:p w:rsidR="00FC16AB" w:rsidRDefault="00FC16AB"/>
    <w:sectPr w:rsidR="00FC16A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415"/>
    <w:rsid w:val="004209DC"/>
    <w:rsid w:val="00D47415"/>
    <w:rsid w:val="00FC16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15"/>
    <w:pPr>
      <w:spacing w:after="154" w:line="363" w:lineRule="auto"/>
      <w:ind w:left="10" w:right="567" w:hanging="10"/>
      <w:jc w:val="both"/>
    </w:pPr>
    <w:rPr>
      <w:rFonts w:ascii="Times New Roman" w:eastAsia="Times New Roman" w:hAnsi="Times New Roman" w:cs="Times New Roman"/>
      <w:color w:val="000000"/>
      <w:sz w:val="24"/>
      <w:lang w:val="en-US"/>
    </w:rPr>
  </w:style>
  <w:style w:type="paragraph" w:styleId="Heading1">
    <w:name w:val="heading 1"/>
    <w:next w:val="Normal"/>
    <w:link w:val="Heading1Char"/>
    <w:uiPriority w:val="9"/>
    <w:qFormat/>
    <w:rsid w:val="00D47415"/>
    <w:pPr>
      <w:keepNext/>
      <w:keepLines/>
      <w:spacing w:after="96"/>
      <w:ind w:left="284" w:hanging="10"/>
      <w:outlineLvl w:val="0"/>
    </w:pPr>
    <w:rPr>
      <w:rFonts w:ascii="Times New Roman" w:eastAsia="Times New Roman" w:hAnsi="Times New Roman" w:cs="Times New Roman"/>
      <w:b/>
      <w:color w:val="000000"/>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15"/>
    <w:rPr>
      <w:rFonts w:ascii="Times New Roman" w:eastAsia="Times New Roman" w:hAnsi="Times New Roman" w:cs="Times New Roman"/>
      <w:b/>
      <w:color w:val="000000"/>
      <w:sz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15"/>
    <w:pPr>
      <w:spacing w:after="154" w:line="363" w:lineRule="auto"/>
      <w:ind w:left="10" w:right="567" w:hanging="10"/>
      <w:jc w:val="both"/>
    </w:pPr>
    <w:rPr>
      <w:rFonts w:ascii="Times New Roman" w:eastAsia="Times New Roman" w:hAnsi="Times New Roman" w:cs="Times New Roman"/>
      <w:color w:val="000000"/>
      <w:sz w:val="24"/>
      <w:lang w:val="en-US"/>
    </w:rPr>
  </w:style>
  <w:style w:type="paragraph" w:styleId="Heading1">
    <w:name w:val="heading 1"/>
    <w:next w:val="Normal"/>
    <w:link w:val="Heading1Char"/>
    <w:uiPriority w:val="9"/>
    <w:qFormat/>
    <w:rsid w:val="00D47415"/>
    <w:pPr>
      <w:keepNext/>
      <w:keepLines/>
      <w:spacing w:after="96"/>
      <w:ind w:left="284" w:hanging="10"/>
      <w:outlineLvl w:val="0"/>
    </w:pPr>
    <w:rPr>
      <w:rFonts w:ascii="Times New Roman" w:eastAsia="Times New Roman" w:hAnsi="Times New Roman" w:cs="Times New Roman"/>
      <w:b/>
      <w:color w:val="000000"/>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15"/>
    <w:rPr>
      <w:rFonts w:ascii="Times New Roman" w:eastAsia="Times New Roman" w:hAnsi="Times New Roman" w:cs="Times New Roman"/>
      <w:b/>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AISHATH NAILA</dc:creator>
  <cp:lastModifiedBy>pharmacology2021</cp:lastModifiedBy>
  <cp:revision>2</cp:revision>
  <dcterms:created xsi:type="dcterms:W3CDTF">2022-07-18T09:57:00Z</dcterms:created>
  <dcterms:modified xsi:type="dcterms:W3CDTF">2022-07-18T09:57:00Z</dcterms:modified>
</cp:coreProperties>
</file>