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8DAAA" w14:textId="25D9D707" w:rsidR="00021A93" w:rsidRPr="00A75A44" w:rsidRDefault="00DD5A2D" w:rsidP="00021A93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A75A44">
        <w:rPr>
          <w:b/>
          <w:bCs/>
          <w:sz w:val="32"/>
          <w:szCs w:val="32"/>
        </w:rPr>
        <w:t xml:space="preserve">Pattern </w:t>
      </w:r>
      <w:r w:rsidR="00BC13E7" w:rsidRPr="00A75A44">
        <w:rPr>
          <w:b/>
          <w:bCs/>
          <w:sz w:val="32"/>
          <w:szCs w:val="32"/>
        </w:rPr>
        <w:t>R</w:t>
      </w:r>
      <w:r w:rsidRPr="00A75A44">
        <w:rPr>
          <w:b/>
          <w:bCs/>
          <w:sz w:val="32"/>
          <w:szCs w:val="32"/>
        </w:rPr>
        <w:t xml:space="preserve">ecognition or Medical </w:t>
      </w:r>
      <w:r w:rsidR="00BC13E7" w:rsidRPr="00A75A44">
        <w:rPr>
          <w:b/>
          <w:bCs/>
          <w:sz w:val="32"/>
          <w:szCs w:val="32"/>
        </w:rPr>
        <w:t>R</w:t>
      </w:r>
      <w:r w:rsidRPr="00A75A44">
        <w:rPr>
          <w:b/>
          <w:bCs/>
          <w:sz w:val="32"/>
          <w:szCs w:val="32"/>
        </w:rPr>
        <w:t>easoning</w:t>
      </w:r>
    </w:p>
    <w:p w14:paraId="729CD80F" w14:textId="700E83DE" w:rsidR="004C15BA" w:rsidRPr="00A75A44" w:rsidRDefault="00021A93" w:rsidP="00A75A44">
      <w:pPr>
        <w:jc w:val="center"/>
        <w:rPr>
          <w:b/>
          <w:bCs/>
          <w:sz w:val="28"/>
          <w:szCs w:val="28"/>
        </w:rPr>
      </w:pPr>
      <w:r w:rsidRPr="00A75A44">
        <w:rPr>
          <w:b/>
          <w:bCs/>
          <w:sz w:val="28"/>
          <w:szCs w:val="28"/>
        </w:rPr>
        <w:t>The</w:t>
      </w:r>
      <w:r w:rsidR="00BC13E7" w:rsidRPr="00A75A44">
        <w:rPr>
          <w:b/>
          <w:bCs/>
          <w:sz w:val="28"/>
          <w:szCs w:val="28"/>
        </w:rPr>
        <w:t xml:space="preserve"> role of </w:t>
      </w:r>
      <w:r w:rsidR="00331AAB" w:rsidRPr="00A75A44">
        <w:rPr>
          <w:b/>
          <w:bCs/>
          <w:sz w:val="28"/>
          <w:szCs w:val="28"/>
        </w:rPr>
        <w:t>experienced clinicians in applying clinical guidelines to clinical scenarios</w:t>
      </w:r>
    </w:p>
    <w:p w14:paraId="5DA70C96" w14:textId="6C9ABE57" w:rsidR="00331AAB" w:rsidRDefault="00331AAB">
      <w:pPr>
        <w:rPr>
          <w:b/>
          <w:bCs/>
          <w:sz w:val="26"/>
          <w:szCs w:val="26"/>
        </w:rPr>
      </w:pPr>
    </w:p>
    <w:p w14:paraId="0785065F" w14:textId="5DFE55DC" w:rsidR="00331AAB" w:rsidRPr="004C15BA" w:rsidRDefault="00331AAB">
      <w:pPr>
        <w:rPr>
          <w:sz w:val="26"/>
          <w:szCs w:val="26"/>
        </w:rPr>
      </w:pPr>
      <w:r>
        <w:rPr>
          <w:b/>
          <w:bCs/>
          <w:sz w:val="26"/>
          <w:szCs w:val="26"/>
        </w:rPr>
        <w:t>Author: Hassan Sharifi, AMC, MD, Board of Paediatrics, FRACP, Senior staff Specialist Paediatrician, Central Coast Local Health District, NSW, Australia</w:t>
      </w:r>
    </w:p>
    <w:p w14:paraId="22935FD5" w14:textId="77777777" w:rsidR="004C15BA" w:rsidRDefault="004C15BA">
      <w:pPr>
        <w:rPr>
          <w:b/>
          <w:bCs/>
          <w:sz w:val="26"/>
          <w:szCs w:val="26"/>
        </w:rPr>
      </w:pPr>
    </w:p>
    <w:p w14:paraId="7075A049" w14:textId="77777777" w:rsidR="004C15BA" w:rsidRDefault="004C15BA">
      <w:pPr>
        <w:rPr>
          <w:b/>
          <w:bCs/>
          <w:sz w:val="26"/>
          <w:szCs w:val="26"/>
        </w:rPr>
      </w:pPr>
    </w:p>
    <w:p w14:paraId="11A9ABEB" w14:textId="77E5D900" w:rsidR="00566C24" w:rsidRPr="00A75A44" w:rsidRDefault="00566C24">
      <w:pPr>
        <w:rPr>
          <w:b/>
          <w:bCs/>
        </w:rPr>
      </w:pPr>
      <w:r w:rsidRPr="00A75A44">
        <w:rPr>
          <w:b/>
          <w:bCs/>
        </w:rPr>
        <w:t>Introduction</w:t>
      </w:r>
      <w:r w:rsidR="00B83D04" w:rsidRPr="00A75A44">
        <w:rPr>
          <w:b/>
          <w:bCs/>
        </w:rPr>
        <w:t>/Background</w:t>
      </w:r>
    </w:p>
    <w:p w14:paraId="4F6E5401" w14:textId="77777777" w:rsidR="00566C24" w:rsidRDefault="00566C24"/>
    <w:p w14:paraId="60F82DE6" w14:textId="0F91135B" w:rsidR="00096A66" w:rsidRDefault="00096A66" w:rsidP="00A75A44">
      <w:pPr>
        <w:jc w:val="both"/>
      </w:pPr>
      <w:r>
        <w:t xml:space="preserve">Clinical guidelines have become an </w:t>
      </w:r>
      <w:r w:rsidR="004A0A2E">
        <w:t xml:space="preserve">extremely important and </w:t>
      </w:r>
      <w:r>
        <w:t>integral part of medical practice and education over the past decade.</w:t>
      </w:r>
      <w:r w:rsidR="00B0618C">
        <w:t xml:space="preserve"> </w:t>
      </w:r>
      <w:r w:rsidR="00021A93">
        <w:t>The</w:t>
      </w:r>
      <w:r w:rsidR="00B0618C">
        <w:t xml:space="preserve"> guidelines are designed to assist the clinician</w:t>
      </w:r>
      <w:r w:rsidR="004A0A2E">
        <w:t>s</w:t>
      </w:r>
      <w:r w:rsidR="00B0618C">
        <w:t xml:space="preserve"> </w:t>
      </w:r>
      <w:r w:rsidR="00021A93">
        <w:t>and they are not intended to</w:t>
      </w:r>
      <w:r w:rsidR="00BF51C2">
        <w:t xml:space="preserve"> replace clinical judgment</w:t>
      </w:r>
      <w:r w:rsidR="00021A93">
        <w:t>. However,</w:t>
      </w:r>
      <w:r w:rsidR="00BF51C2">
        <w:t xml:space="preserve"> the content</w:t>
      </w:r>
      <w:r w:rsidR="00CD186A">
        <w:t>s</w:t>
      </w:r>
      <w:r w:rsidR="00BF51C2">
        <w:t xml:space="preserve"> of </w:t>
      </w:r>
      <w:r w:rsidR="00021A93">
        <w:t>the guidelines have</w:t>
      </w:r>
      <w:r w:rsidR="00BF51C2">
        <w:t xml:space="preserve"> been increasingly employed in both clinical and educational settings </w:t>
      </w:r>
      <w:r w:rsidR="00481F02">
        <w:t xml:space="preserve">in </w:t>
      </w:r>
      <w:r w:rsidR="00021A93">
        <w:t xml:space="preserve">lieu </w:t>
      </w:r>
      <w:r w:rsidR="00481F02">
        <w:t>of</w:t>
      </w:r>
      <w:r w:rsidR="00BF51C2">
        <w:t xml:space="preserve"> medical reasoning</w:t>
      </w:r>
      <w:r w:rsidR="00481F02">
        <w:t xml:space="preserve">. </w:t>
      </w:r>
      <w:r w:rsidR="00021A93">
        <w:t xml:space="preserve">Accordingly, the </w:t>
      </w:r>
      <w:r w:rsidR="00C70706">
        <w:t xml:space="preserve">focus of educators and trainees </w:t>
      </w:r>
      <w:r w:rsidR="00021A93">
        <w:t>appears to have been shifted towards</w:t>
      </w:r>
      <w:r w:rsidR="00C70706">
        <w:t xml:space="preserve"> </w:t>
      </w:r>
      <w:r w:rsidR="004A0A2E">
        <w:t xml:space="preserve">the use of </w:t>
      </w:r>
      <w:r w:rsidR="00EA0D3C">
        <w:t>pattern recognition</w:t>
      </w:r>
      <w:r w:rsidR="00021A93">
        <w:t>. Therefore</w:t>
      </w:r>
      <w:r w:rsidR="00EA0D3C">
        <w:t xml:space="preserve">, </w:t>
      </w:r>
      <w:r w:rsidR="00021A93">
        <w:t xml:space="preserve">the utilisation </w:t>
      </w:r>
      <w:r w:rsidR="00CD186A">
        <w:t>of a</w:t>
      </w:r>
      <w:r w:rsidR="00021A93">
        <w:t xml:space="preserve"> </w:t>
      </w:r>
      <w:r w:rsidR="00C70706">
        <w:t xml:space="preserve">mechanical </w:t>
      </w:r>
      <w:r w:rsidR="00021A93">
        <w:t xml:space="preserve">and </w:t>
      </w:r>
      <w:r w:rsidR="004A0A2E">
        <w:t xml:space="preserve">rigid </w:t>
      </w:r>
      <w:r w:rsidR="00C70706">
        <w:t xml:space="preserve">approach </w:t>
      </w:r>
      <w:r w:rsidR="00021A93">
        <w:t>for</w:t>
      </w:r>
      <w:r w:rsidR="00185C5E">
        <w:t xml:space="preserve"> all patients</w:t>
      </w:r>
      <w:r w:rsidR="00021A93">
        <w:t xml:space="preserve"> has been favoured over</w:t>
      </w:r>
      <w:r w:rsidR="00185C5E">
        <w:t xml:space="preserve"> </w:t>
      </w:r>
      <w:r w:rsidR="00021A93">
        <w:t xml:space="preserve">undertaking </w:t>
      </w:r>
      <w:r w:rsidR="00185C5E">
        <w:t xml:space="preserve">a </w:t>
      </w:r>
      <w:r w:rsidR="00CD186A">
        <w:t>unique dynamic</w:t>
      </w:r>
      <w:r w:rsidR="004C02D4">
        <w:t xml:space="preserve"> </w:t>
      </w:r>
      <w:r w:rsidR="00185C5E">
        <w:t xml:space="preserve">approach </w:t>
      </w:r>
      <w:r w:rsidR="004C02D4">
        <w:t>for</w:t>
      </w:r>
      <w:r w:rsidR="004A0A2E">
        <w:t xml:space="preserve"> each patient based on </w:t>
      </w:r>
      <w:r w:rsidR="00021A93">
        <w:t xml:space="preserve">their specific </w:t>
      </w:r>
      <w:r w:rsidR="004A0A2E">
        <w:t>medical assessment, without necessarily breeching the existing guidelines.</w:t>
      </w:r>
    </w:p>
    <w:p w14:paraId="3AA80A11" w14:textId="5B96F522" w:rsidR="004A0A2E" w:rsidRPr="00015E2B" w:rsidRDefault="004A0A2E">
      <w:pPr>
        <w:rPr>
          <w:b/>
          <w:bCs/>
        </w:rPr>
      </w:pPr>
    </w:p>
    <w:p w14:paraId="4453CBFB" w14:textId="71128E7D" w:rsidR="00015E2B" w:rsidRDefault="00015E2B">
      <w:pPr>
        <w:rPr>
          <w:b/>
          <w:bCs/>
        </w:rPr>
      </w:pPr>
      <w:r w:rsidRPr="00015E2B">
        <w:rPr>
          <w:b/>
          <w:bCs/>
        </w:rPr>
        <w:t>Method</w:t>
      </w:r>
    </w:p>
    <w:p w14:paraId="6224F2A8" w14:textId="77777777" w:rsidR="00A20B14" w:rsidRPr="00015E2B" w:rsidRDefault="00A20B14">
      <w:pPr>
        <w:rPr>
          <w:b/>
          <w:bCs/>
        </w:rPr>
      </w:pPr>
    </w:p>
    <w:p w14:paraId="5EF56A80" w14:textId="3307401A" w:rsidR="003558DD" w:rsidRDefault="00021A93" w:rsidP="00A75A44">
      <w:pPr>
        <w:jc w:val="both"/>
      </w:pPr>
      <w:r>
        <w:t>This article retrospectively reviews</w:t>
      </w:r>
      <w:r w:rsidR="004A0A2E">
        <w:t xml:space="preserve"> three </w:t>
      </w:r>
      <w:r w:rsidR="003558DD">
        <w:t>real clinical scenarios</w:t>
      </w:r>
      <w:r>
        <w:t>,</w:t>
      </w:r>
      <w:r w:rsidR="003558DD">
        <w:t xml:space="preserve"> </w:t>
      </w:r>
      <w:r>
        <w:t xml:space="preserve">concerning the </w:t>
      </w:r>
      <w:r w:rsidR="00E5413A">
        <w:t>approach</w:t>
      </w:r>
      <w:r>
        <w:t xml:space="preserve"> adopted for </w:t>
      </w:r>
      <w:r w:rsidR="003558DD">
        <w:t xml:space="preserve">diagnosis and management, </w:t>
      </w:r>
      <w:r w:rsidR="00E5413A">
        <w:t xml:space="preserve">including the initial </w:t>
      </w:r>
      <w:r w:rsidR="003558DD">
        <w:t xml:space="preserve">use of guidelines </w:t>
      </w:r>
      <w:r w:rsidR="00E5413A">
        <w:t xml:space="preserve">alone </w:t>
      </w:r>
      <w:r w:rsidR="003558DD">
        <w:t xml:space="preserve">and the </w:t>
      </w:r>
      <w:r w:rsidR="004C02D4">
        <w:t>outcome</w:t>
      </w:r>
      <w:r w:rsidR="003558DD">
        <w:t>,</w:t>
      </w:r>
      <w:r w:rsidR="00E5413A">
        <w:t xml:space="preserve"> whe</w:t>
      </w:r>
      <w:r w:rsidR="00A20B14">
        <w:t xml:space="preserve">reby further </w:t>
      </w:r>
      <w:r w:rsidR="00E5413A">
        <w:t xml:space="preserve">medical reasoning </w:t>
      </w:r>
      <w:r w:rsidR="00A20B14">
        <w:t>required a</w:t>
      </w:r>
      <w:r w:rsidR="004C15BA">
        <w:t xml:space="preserve"> change</w:t>
      </w:r>
      <w:r w:rsidR="00A20B14">
        <w:t xml:space="preserve"> in</w:t>
      </w:r>
      <w:r w:rsidR="004C15BA">
        <w:t xml:space="preserve"> the </w:t>
      </w:r>
      <w:r w:rsidR="00A20B14">
        <w:t>clinical</w:t>
      </w:r>
      <w:r w:rsidR="004C15BA">
        <w:t xml:space="preserve"> management.</w:t>
      </w:r>
    </w:p>
    <w:p w14:paraId="595FFCAB" w14:textId="526D00F0" w:rsidR="004C15BA" w:rsidRDefault="004C15BA"/>
    <w:p w14:paraId="3AC9E8B4" w14:textId="3832E3C9" w:rsidR="004C15BA" w:rsidRPr="004C15BA" w:rsidRDefault="004C15BA">
      <w:pPr>
        <w:rPr>
          <w:b/>
          <w:bCs/>
        </w:rPr>
      </w:pPr>
      <w:r w:rsidRPr="004C15BA">
        <w:rPr>
          <w:b/>
          <w:bCs/>
        </w:rPr>
        <w:t>Findings</w:t>
      </w:r>
    </w:p>
    <w:p w14:paraId="0F6B28E7" w14:textId="77777777" w:rsidR="003558DD" w:rsidRDefault="003558DD"/>
    <w:p w14:paraId="053FF6A1" w14:textId="135974A8" w:rsidR="00A20B14" w:rsidRPr="00A75A44" w:rsidRDefault="004C15BA">
      <w:pPr>
        <w:rPr>
          <w:i/>
          <w:iCs/>
        </w:rPr>
      </w:pPr>
      <w:r w:rsidRPr="00A75A44">
        <w:rPr>
          <w:i/>
          <w:iCs/>
        </w:rPr>
        <w:t>C</w:t>
      </w:r>
      <w:r w:rsidR="001F0DAC" w:rsidRPr="00A75A44">
        <w:rPr>
          <w:i/>
          <w:iCs/>
        </w:rPr>
        <w:t xml:space="preserve">ase </w:t>
      </w:r>
      <w:r w:rsidR="00A20B14" w:rsidRPr="00A75A44">
        <w:rPr>
          <w:i/>
          <w:iCs/>
        </w:rPr>
        <w:t>O</w:t>
      </w:r>
      <w:r w:rsidR="00594DA4" w:rsidRPr="00A75A44">
        <w:rPr>
          <w:i/>
          <w:iCs/>
        </w:rPr>
        <w:t>ne</w:t>
      </w:r>
    </w:p>
    <w:p w14:paraId="4946F3B7" w14:textId="4BA03FDB" w:rsidR="004A0A2E" w:rsidRDefault="00DD2921" w:rsidP="00A75A44">
      <w:pPr>
        <w:jc w:val="both"/>
      </w:pPr>
      <w:r>
        <w:t>A</w:t>
      </w:r>
      <w:r w:rsidR="001F0DAC">
        <w:t xml:space="preserve"> </w:t>
      </w:r>
      <w:r w:rsidR="00CD186A">
        <w:t>5-year-old</w:t>
      </w:r>
      <w:r w:rsidR="001F0DAC">
        <w:t xml:space="preserve"> child</w:t>
      </w:r>
      <w:r w:rsidR="00A20B14">
        <w:t xml:space="preserve"> was </w:t>
      </w:r>
      <w:r w:rsidR="001F0DAC">
        <w:t>presented after a blunt head injury</w:t>
      </w:r>
      <w:r w:rsidR="00A20B14">
        <w:t>. U</w:t>
      </w:r>
      <w:r w:rsidR="001F0DAC">
        <w:t>sing the PECARN guideline, the decision was made to consider this as clinically not significant</w:t>
      </w:r>
      <w:r w:rsidR="00A20B14">
        <w:t xml:space="preserve">. Therefore, </w:t>
      </w:r>
      <w:r w:rsidR="001F0DAC">
        <w:t xml:space="preserve">no imaging was performed. Further review of the history revealed that what had been considered as scalp haematoma, was indeed </w:t>
      </w:r>
      <w:proofErr w:type="spellStart"/>
      <w:r w:rsidR="00566C24">
        <w:t>subgaleal</w:t>
      </w:r>
      <w:proofErr w:type="spellEnd"/>
      <w:r w:rsidR="001F0DAC">
        <w:t xml:space="preserve"> </w:t>
      </w:r>
      <w:r w:rsidR="00201FED">
        <w:t>haemorrhage</w:t>
      </w:r>
      <w:r w:rsidR="001F0DAC">
        <w:t xml:space="preserve"> which in half of the </w:t>
      </w:r>
      <w:r w:rsidR="00201FED">
        <w:t>case</w:t>
      </w:r>
      <w:r w:rsidR="00CD186A">
        <w:t>s</w:t>
      </w:r>
      <w:r w:rsidR="001F0DAC">
        <w:t xml:space="preserve"> at this age is associated with skull fracture. The imaging </w:t>
      </w:r>
      <w:r w:rsidR="00201FED">
        <w:t>subsequently showed both skull fracture and intracranial haemorrhage.</w:t>
      </w:r>
    </w:p>
    <w:p w14:paraId="244B71F7" w14:textId="77777777" w:rsidR="004C15BA" w:rsidRDefault="004C15BA"/>
    <w:p w14:paraId="5BC5CC90" w14:textId="09B6A58D" w:rsidR="00A20B14" w:rsidRPr="00A75A44" w:rsidRDefault="00A20B14">
      <w:pPr>
        <w:rPr>
          <w:i/>
          <w:iCs/>
        </w:rPr>
      </w:pPr>
      <w:r w:rsidRPr="00A75A44">
        <w:rPr>
          <w:i/>
          <w:iCs/>
        </w:rPr>
        <w:t>Case Two</w:t>
      </w:r>
    </w:p>
    <w:p w14:paraId="08526164" w14:textId="6D936637" w:rsidR="00201FED" w:rsidRDefault="00A20B14" w:rsidP="00A75A44">
      <w:pPr>
        <w:jc w:val="both"/>
        <w:rPr>
          <w:lang w:bidi="fa-IR"/>
        </w:rPr>
      </w:pPr>
      <w:r>
        <w:t>A</w:t>
      </w:r>
      <w:r w:rsidR="00201FED">
        <w:t xml:space="preserve"> term baby was born with</w:t>
      </w:r>
      <w:r>
        <w:t>out presenting the</w:t>
      </w:r>
      <w:r w:rsidR="00201FED">
        <w:t xml:space="preserve"> risk factors for sepsis or hypoglycaemia prior to delivery. According to </w:t>
      </w:r>
      <w:r>
        <w:t xml:space="preserve">the </w:t>
      </w:r>
      <w:r w:rsidR="00201FED">
        <w:t>“sepsis C</w:t>
      </w:r>
      <w:r w:rsidR="00201FED">
        <w:rPr>
          <w:lang w:bidi="fa-IR"/>
        </w:rPr>
        <w:t>alculator”</w:t>
      </w:r>
      <w:r>
        <w:rPr>
          <w:lang w:bidi="fa-IR"/>
        </w:rPr>
        <w:t xml:space="preserve">, </w:t>
      </w:r>
      <w:r w:rsidR="00201FED">
        <w:rPr>
          <w:lang w:bidi="fa-IR"/>
        </w:rPr>
        <w:t>the infant did not require antibiotics</w:t>
      </w:r>
      <w:r w:rsidR="00015E2B">
        <w:rPr>
          <w:lang w:bidi="fa-IR"/>
        </w:rPr>
        <w:t xml:space="preserve"> and would have been treated </w:t>
      </w:r>
      <w:r w:rsidR="00CD186A">
        <w:rPr>
          <w:lang w:bidi="fa-IR"/>
        </w:rPr>
        <w:t xml:space="preserve">conservatively </w:t>
      </w:r>
      <w:r w:rsidR="00015E2B">
        <w:rPr>
          <w:lang w:bidi="fa-IR"/>
        </w:rPr>
        <w:t>based on local guidelines for hypoglycaemia.</w:t>
      </w:r>
      <w:r w:rsidR="00201FED">
        <w:rPr>
          <w:lang w:bidi="fa-IR"/>
        </w:rPr>
        <w:t xml:space="preserve"> </w:t>
      </w:r>
      <w:r>
        <w:rPr>
          <w:lang w:bidi="fa-IR"/>
        </w:rPr>
        <w:t>However, t</w:t>
      </w:r>
      <w:r w:rsidR="00594DA4">
        <w:rPr>
          <w:lang w:bidi="fa-IR"/>
        </w:rPr>
        <w:t>he infant</w:t>
      </w:r>
      <w:r w:rsidR="00566C24">
        <w:rPr>
          <w:lang w:bidi="fa-IR"/>
        </w:rPr>
        <w:t xml:space="preserve"> had</w:t>
      </w:r>
      <w:r w:rsidR="00594DA4">
        <w:rPr>
          <w:lang w:bidi="fa-IR"/>
        </w:rPr>
        <w:t xml:space="preserve"> partial work up due to </w:t>
      </w:r>
      <w:r w:rsidR="00201FED">
        <w:rPr>
          <w:lang w:bidi="fa-IR"/>
        </w:rPr>
        <w:t>unexpected low Apgar Scores</w:t>
      </w:r>
      <w:r w:rsidR="00594DA4">
        <w:rPr>
          <w:lang w:bidi="fa-IR"/>
        </w:rPr>
        <w:t xml:space="preserve">, and the CRP was very high. </w:t>
      </w:r>
      <w:r>
        <w:rPr>
          <w:lang w:bidi="fa-IR"/>
        </w:rPr>
        <w:t xml:space="preserve">Considered together </w:t>
      </w:r>
      <w:r w:rsidR="00594DA4">
        <w:rPr>
          <w:lang w:bidi="fa-IR"/>
        </w:rPr>
        <w:t>with persisting low sugar, the possibility of sepsis</w:t>
      </w:r>
      <w:r w:rsidR="00566C24">
        <w:rPr>
          <w:lang w:bidi="fa-IR"/>
        </w:rPr>
        <w:t xml:space="preserve">, septic emboli </w:t>
      </w:r>
      <w:r w:rsidR="00594DA4">
        <w:rPr>
          <w:lang w:bidi="fa-IR"/>
        </w:rPr>
        <w:t xml:space="preserve">and Adrenal Gland pathology were </w:t>
      </w:r>
      <w:r w:rsidR="00CD186A">
        <w:rPr>
          <w:lang w:bidi="fa-IR"/>
        </w:rPr>
        <w:t>explored.</w:t>
      </w:r>
      <w:r w:rsidR="00594DA4">
        <w:rPr>
          <w:lang w:bidi="fa-IR"/>
        </w:rPr>
        <w:t xml:space="preserve"> Further investigations revealed multiple emboli, most likely </w:t>
      </w:r>
      <w:r w:rsidR="004C75E4">
        <w:rPr>
          <w:lang w:bidi="fa-IR"/>
        </w:rPr>
        <w:t>septic,</w:t>
      </w:r>
      <w:r w:rsidR="00CD186A">
        <w:rPr>
          <w:lang w:bidi="fa-IR"/>
        </w:rPr>
        <w:t xml:space="preserve"> in</w:t>
      </w:r>
      <w:r w:rsidR="00594DA4">
        <w:rPr>
          <w:lang w:bidi="fa-IR"/>
        </w:rPr>
        <w:t xml:space="preserve"> different organs.</w:t>
      </w:r>
    </w:p>
    <w:p w14:paraId="27A93CFC" w14:textId="229556CE" w:rsidR="00594DA4" w:rsidRDefault="00594DA4">
      <w:pPr>
        <w:rPr>
          <w:lang w:bidi="fa-IR"/>
        </w:rPr>
      </w:pPr>
    </w:p>
    <w:p w14:paraId="642601AE" w14:textId="77777777" w:rsidR="00A20B14" w:rsidRDefault="00A20B14">
      <w:pPr>
        <w:rPr>
          <w:i/>
          <w:iCs/>
          <w:lang w:bidi="fa-IR"/>
        </w:rPr>
      </w:pPr>
    </w:p>
    <w:p w14:paraId="01442F34" w14:textId="04B0F2F5" w:rsidR="00A20B14" w:rsidRDefault="00A20B14">
      <w:pPr>
        <w:rPr>
          <w:i/>
          <w:iCs/>
          <w:lang w:bidi="fa-IR"/>
        </w:rPr>
      </w:pPr>
      <w:r>
        <w:rPr>
          <w:i/>
          <w:iCs/>
          <w:lang w:bidi="fa-IR"/>
        </w:rPr>
        <w:lastRenderedPageBreak/>
        <w:t>Case Three</w:t>
      </w:r>
    </w:p>
    <w:p w14:paraId="562FECB5" w14:textId="1355FF05" w:rsidR="00594DA4" w:rsidRPr="00A75A44" w:rsidRDefault="00A20B14" w:rsidP="00A75A44">
      <w:pPr>
        <w:jc w:val="both"/>
        <w:rPr>
          <w:i/>
          <w:iCs/>
          <w:lang w:bidi="fa-IR"/>
        </w:rPr>
      </w:pPr>
      <w:r>
        <w:rPr>
          <w:lang w:bidi="fa-IR"/>
        </w:rPr>
        <w:t>A</w:t>
      </w:r>
      <w:r w:rsidR="00594DA4">
        <w:rPr>
          <w:lang w:bidi="fa-IR"/>
        </w:rPr>
        <w:t xml:space="preserve">n </w:t>
      </w:r>
      <w:r w:rsidR="00CD186A">
        <w:rPr>
          <w:lang w:bidi="fa-IR"/>
        </w:rPr>
        <w:t>eight-year-old</w:t>
      </w:r>
      <w:r w:rsidR="00594DA4">
        <w:rPr>
          <w:lang w:bidi="fa-IR"/>
        </w:rPr>
        <w:t xml:space="preserve"> child presented with typical presentation of meningitis. The </w:t>
      </w:r>
      <w:r w:rsidR="00272ECF">
        <w:rPr>
          <w:lang w:bidi="fa-IR"/>
        </w:rPr>
        <w:t>L</w:t>
      </w:r>
      <w:r w:rsidR="00CD186A">
        <w:rPr>
          <w:lang w:bidi="fa-IR"/>
        </w:rPr>
        <w:t>umbar Puncture</w:t>
      </w:r>
      <w:r w:rsidR="00272ECF">
        <w:rPr>
          <w:lang w:bidi="fa-IR"/>
        </w:rPr>
        <w:t xml:space="preserve"> </w:t>
      </w:r>
      <w:r w:rsidR="005A4F5F">
        <w:rPr>
          <w:lang w:bidi="fa-IR"/>
        </w:rPr>
        <w:t xml:space="preserve">preliminary </w:t>
      </w:r>
      <w:r w:rsidR="00272ECF">
        <w:rPr>
          <w:lang w:bidi="fa-IR"/>
        </w:rPr>
        <w:t xml:space="preserve">was consistent with viral meningitis, </w:t>
      </w:r>
      <w:r w:rsidR="005A4F5F">
        <w:rPr>
          <w:lang w:bidi="fa-IR"/>
        </w:rPr>
        <w:t>and</w:t>
      </w:r>
      <w:r w:rsidR="00272ECF">
        <w:rPr>
          <w:lang w:bidi="fa-IR"/>
        </w:rPr>
        <w:t xml:space="preserve"> the child received empiric treatment</w:t>
      </w:r>
      <w:r w:rsidR="005A4F5F">
        <w:rPr>
          <w:lang w:bidi="fa-IR"/>
        </w:rPr>
        <w:t xml:space="preserve"> according to guidelines</w:t>
      </w:r>
      <w:r w:rsidR="00272ECF">
        <w:rPr>
          <w:lang w:bidi="fa-IR"/>
        </w:rPr>
        <w:t xml:space="preserve">. The rising CRP on day 4 and an intermittent newly onset nystagmus on this day raised the need for urgent imaging. The Brain CT Scan was normal but considering the unexplained findings, the </w:t>
      </w:r>
      <w:r>
        <w:rPr>
          <w:lang w:bidi="fa-IR"/>
        </w:rPr>
        <w:t>b</w:t>
      </w:r>
      <w:r w:rsidR="00272ECF">
        <w:rPr>
          <w:lang w:bidi="fa-IR"/>
        </w:rPr>
        <w:t xml:space="preserve">rain MRI was </w:t>
      </w:r>
      <w:r>
        <w:rPr>
          <w:lang w:bidi="fa-IR"/>
        </w:rPr>
        <w:t xml:space="preserve">also </w:t>
      </w:r>
      <w:r w:rsidR="00272ECF">
        <w:rPr>
          <w:lang w:bidi="fa-IR"/>
        </w:rPr>
        <w:t xml:space="preserve">performed and </w:t>
      </w:r>
      <w:r w:rsidR="00DD2921">
        <w:rPr>
          <w:lang w:bidi="fa-IR"/>
        </w:rPr>
        <w:t xml:space="preserve">subsequently </w:t>
      </w:r>
      <w:r w:rsidR="00272ECF">
        <w:rPr>
          <w:lang w:bidi="fa-IR"/>
        </w:rPr>
        <w:t>showed extensive brain stem encephalitis.</w:t>
      </w:r>
      <w:r w:rsidR="006B49F4">
        <w:rPr>
          <w:lang w:bidi="fa-IR"/>
        </w:rPr>
        <w:t xml:space="preserve"> The clinical assessment and the MRI of the spine was also consistent with extensive myelitis.</w:t>
      </w:r>
    </w:p>
    <w:p w14:paraId="4AE7872F" w14:textId="2F39FCA7" w:rsidR="006B49F4" w:rsidRDefault="006B49F4">
      <w:pPr>
        <w:rPr>
          <w:lang w:bidi="fa-IR"/>
        </w:rPr>
      </w:pPr>
    </w:p>
    <w:p w14:paraId="5E9E5FB1" w14:textId="04DCAAC5" w:rsidR="006B49F4" w:rsidRDefault="006B49F4">
      <w:pPr>
        <w:rPr>
          <w:b/>
          <w:bCs/>
          <w:lang w:bidi="fa-IR"/>
        </w:rPr>
      </w:pPr>
      <w:r w:rsidRPr="00015E2B">
        <w:rPr>
          <w:b/>
          <w:bCs/>
          <w:lang w:bidi="fa-IR"/>
        </w:rPr>
        <w:t>Conclusion</w:t>
      </w:r>
    </w:p>
    <w:p w14:paraId="030F4F9A" w14:textId="77777777" w:rsidR="00A20B14" w:rsidRPr="00015E2B" w:rsidRDefault="00A20B14">
      <w:pPr>
        <w:rPr>
          <w:b/>
          <w:bCs/>
          <w:lang w:bidi="fa-IR"/>
        </w:rPr>
      </w:pPr>
    </w:p>
    <w:p w14:paraId="75929951" w14:textId="59E677A7" w:rsidR="006B49F4" w:rsidRDefault="006B49F4" w:rsidP="00A75A44">
      <w:pPr>
        <w:jc w:val="both"/>
        <w:rPr>
          <w:lang w:bidi="fa-IR"/>
        </w:rPr>
      </w:pPr>
      <w:r>
        <w:rPr>
          <w:lang w:bidi="fa-IR"/>
        </w:rPr>
        <w:t>Development of evidence-based guidelines have been a significant step in safe clinical practice</w:t>
      </w:r>
      <w:r w:rsidR="00A20B14">
        <w:rPr>
          <w:lang w:bidi="fa-IR"/>
        </w:rPr>
        <w:t>. H</w:t>
      </w:r>
      <w:r>
        <w:rPr>
          <w:lang w:bidi="fa-IR"/>
        </w:rPr>
        <w:t>owever</w:t>
      </w:r>
      <w:r w:rsidR="00A20B14">
        <w:rPr>
          <w:lang w:bidi="fa-IR"/>
        </w:rPr>
        <w:t xml:space="preserve">, it is integral that the use of </w:t>
      </w:r>
      <w:r>
        <w:rPr>
          <w:lang w:bidi="fa-IR"/>
        </w:rPr>
        <w:t xml:space="preserve">these guidelines </w:t>
      </w:r>
      <w:r w:rsidR="00A20B14">
        <w:rPr>
          <w:lang w:bidi="fa-IR"/>
        </w:rPr>
        <w:t>is</w:t>
      </w:r>
      <w:r>
        <w:rPr>
          <w:lang w:bidi="fa-IR"/>
        </w:rPr>
        <w:t xml:space="preserve"> complementary to</w:t>
      </w:r>
      <w:r w:rsidR="00A20B14">
        <w:rPr>
          <w:lang w:bidi="fa-IR"/>
        </w:rPr>
        <w:t xml:space="preserve"> undertaking proper</w:t>
      </w:r>
      <w:r>
        <w:rPr>
          <w:lang w:bidi="fa-IR"/>
        </w:rPr>
        <w:t xml:space="preserve"> medical reasoning</w:t>
      </w:r>
      <w:r w:rsidR="00A20B14">
        <w:rPr>
          <w:lang w:bidi="fa-IR"/>
        </w:rPr>
        <w:t xml:space="preserve"> in the first instance</w:t>
      </w:r>
      <w:r w:rsidR="00015E2B">
        <w:rPr>
          <w:lang w:bidi="fa-IR"/>
        </w:rPr>
        <w:t xml:space="preserve">. This should be emphasised during early years of medical education </w:t>
      </w:r>
      <w:r w:rsidR="005A4F5F">
        <w:rPr>
          <w:lang w:bidi="fa-IR"/>
        </w:rPr>
        <w:t>to</w:t>
      </w:r>
      <w:r w:rsidR="00A20B14">
        <w:rPr>
          <w:lang w:bidi="fa-IR"/>
        </w:rPr>
        <w:t xml:space="preserve"> ensure that it </w:t>
      </w:r>
      <w:r w:rsidR="00015E2B">
        <w:rPr>
          <w:lang w:bidi="fa-IR"/>
        </w:rPr>
        <w:t>become</w:t>
      </w:r>
      <w:r w:rsidR="00A20B14">
        <w:rPr>
          <w:lang w:bidi="fa-IR"/>
        </w:rPr>
        <w:t>s</w:t>
      </w:r>
      <w:r w:rsidR="00015E2B">
        <w:rPr>
          <w:lang w:bidi="fa-IR"/>
        </w:rPr>
        <w:t xml:space="preserve"> part of </w:t>
      </w:r>
      <w:r w:rsidR="00A20B14">
        <w:rPr>
          <w:lang w:bidi="fa-IR"/>
        </w:rPr>
        <w:t xml:space="preserve">the usual </w:t>
      </w:r>
      <w:r w:rsidR="00015E2B">
        <w:rPr>
          <w:lang w:bidi="fa-IR"/>
        </w:rPr>
        <w:t xml:space="preserve">medical practice </w:t>
      </w:r>
      <w:r w:rsidR="00A20B14">
        <w:rPr>
          <w:lang w:bidi="fa-IR"/>
        </w:rPr>
        <w:t>undertaken by</w:t>
      </w:r>
      <w:r w:rsidR="00015E2B">
        <w:rPr>
          <w:lang w:bidi="fa-IR"/>
        </w:rPr>
        <w:t xml:space="preserve"> future </w:t>
      </w:r>
      <w:r w:rsidR="00566C24">
        <w:rPr>
          <w:lang w:bidi="fa-IR"/>
        </w:rPr>
        <w:t>clinicians</w:t>
      </w:r>
      <w:r w:rsidR="00015E2B">
        <w:rPr>
          <w:lang w:bidi="fa-IR"/>
        </w:rPr>
        <w:t>.</w:t>
      </w:r>
    </w:p>
    <w:p w14:paraId="5151F7DE" w14:textId="509EE181" w:rsidR="00594DA4" w:rsidRDefault="00594DA4">
      <w:pPr>
        <w:rPr>
          <w:lang w:bidi="fa-IR"/>
        </w:rPr>
      </w:pPr>
    </w:p>
    <w:p w14:paraId="7A3DF43E" w14:textId="77777777" w:rsidR="00594DA4" w:rsidRDefault="00594DA4">
      <w:pPr>
        <w:rPr>
          <w:lang w:bidi="fa-IR"/>
        </w:rPr>
      </w:pPr>
    </w:p>
    <w:p w14:paraId="3DDE3BEB" w14:textId="11AD76EC" w:rsidR="004A0A2E" w:rsidRDefault="004A0A2E"/>
    <w:p w14:paraId="46B7F953" w14:textId="77777777" w:rsidR="004A0A2E" w:rsidRDefault="004A0A2E"/>
    <w:sectPr w:rsidR="004A0A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A66"/>
    <w:rsid w:val="00015E2B"/>
    <w:rsid w:val="00021A93"/>
    <w:rsid w:val="00096A66"/>
    <w:rsid w:val="000E4E06"/>
    <w:rsid w:val="00185C5E"/>
    <w:rsid w:val="001F0DAC"/>
    <w:rsid w:val="00201FED"/>
    <w:rsid w:val="0021138D"/>
    <w:rsid w:val="00272ECF"/>
    <w:rsid w:val="00331AAB"/>
    <w:rsid w:val="003558DD"/>
    <w:rsid w:val="00481F02"/>
    <w:rsid w:val="004A0A2E"/>
    <w:rsid w:val="004C02D4"/>
    <w:rsid w:val="004C15BA"/>
    <w:rsid w:val="004C75E4"/>
    <w:rsid w:val="00566C24"/>
    <w:rsid w:val="00594DA4"/>
    <w:rsid w:val="005A4F5F"/>
    <w:rsid w:val="006B49F4"/>
    <w:rsid w:val="007E331A"/>
    <w:rsid w:val="008F4D37"/>
    <w:rsid w:val="00A20B14"/>
    <w:rsid w:val="00A75A44"/>
    <w:rsid w:val="00B0618C"/>
    <w:rsid w:val="00B83D04"/>
    <w:rsid w:val="00BC13E7"/>
    <w:rsid w:val="00BF51C2"/>
    <w:rsid w:val="00C54A3B"/>
    <w:rsid w:val="00C70706"/>
    <w:rsid w:val="00CD186A"/>
    <w:rsid w:val="00DD2921"/>
    <w:rsid w:val="00DD5A2D"/>
    <w:rsid w:val="00E5413A"/>
    <w:rsid w:val="00EA0D3C"/>
    <w:rsid w:val="00F01809"/>
    <w:rsid w:val="00FD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CD160"/>
  <w15:chartTrackingRefBased/>
  <w15:docId w15:val="{BF789CD5-7473-C54E-A838-88C4141B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292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2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Sharifi</dc:creator>
  <cp:keywords/>
  <dc:description/>
  <cp:lastModifiedBy>Asia Pacific Primary Health Care</cp:lastModifiedBy>
  <cp:revision>2</cp:revision>
  <dcterms:created xsi:type="dcterms:W3CDTF">2022-07-18T05:23:00Z</dcterms:created>
  <dcterms:modified xsi:type="dcterms:W3CDTF">2022-07-18T05:23:00Z</dcterms:modified>
</cp:coreProperties>
</file>