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1F1" w:rsidRDefault="00FC2549">
      <w:pPr>
        <w:pStyle w:val="Default"/>
        <w:ind w:right="278"/>
        <w:rPr>
          <w:sz w:val="24"/>
          <w:szCs w:val="24"/>
        </w:rPr>
      </w:pPr>
      <w:bookmarkStart w:id="0" w:name="_GoBack"/>
      <w:bookmarkEnd w:id="0"/>
      <w:r>
        <w:rPr>
          <w:sz w:val="24"/>
          <w:szCs w:val="24"/>
        </w:rPr>
        <w:t>“</w:t>
      </w:r>
      <w:r>
        <w:rPr>
          <w:sz w:val="24"/>
          <w:szCs w:val="24"/>
          <w:lang w:val="en-US"/>
        </w:rPr>
        <w:t>Spiritual Care of Dying Patients:  A Spiritual Perspective.</w:t>
      </w:r>
      <w:r>
        <w:rPr>
          <w:sz w:val="24"/>
          <w:szCs w:val="24"/>
        </w:rPr>
        <w:t>”</w:t>
      </w: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de-DE"/>
        </w:rPr>
        <w:t>Brigitte Kashtan, Israel</w:t>
      </w: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en-US"/>
        </w:rPr>
        <w:t>Spirituality can be defined by the human quest for meaning.</w:t>
      </w:r>
    </w:p>
    <w:p w:rsidR="003661F1" w:rsidRDefault="00FC2549">
      <w:pPr>
        <w:pStyle w:val="Default"/>
        <w:ind w:right="278"/>
        <w:rPr>
          <w:sz w:val="24"/>
          <w:szCs w:val="24"/>
        </w:rPr>
      </w:pPr>
      <w:r>
        <w:rPr>
          <w:sz w:val="24"/>
          <w:szCs w:val="24"/>
          <w:lang w:val="en-US"/>
        </w:rPr>
        <w:t xml:space="preserve">For seriously ill persons, spirituality is often a bridge between hopelessness and a renewed sense of </w:t>
      </w:r>
      <w:r>
        <w:rPr>
          <w:sz w:val="24"/>
          <w:szCs w:val="24"/>
          <w:lang w:val="en-US"/>
        </w:rPr>
        <w:t>hope and meaning.</w:t>
      </w: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en-US"/>
        </w:rPr>
        <w:t>Quality of life, including addressing the spiritual needs, has been a main focus in palliative care.</w:t>
      </w:r>
    </w:p>
    <w:p w:rsidR="003661F1" w:rsidRDefault="00FC2549">
      <w:pPr>
        <w:pStyle w:val="Default"/>
        <w:ind w:right="278"/>
        <w:rPr>
          <w:sz w:val="24"/>
          <w:szCs w:val="24"/>
        </w:rPr>
      </w:pPr>
      <w:r>
        <w:rPr>
          <w:sz w:val="24"/>
          <w:szCs w:val="24"/>
          <w:lang w:val="en-US"/>
        </w:rPr>
        <w:t>Those who care for people facing the end of their lives can be trained into attending a range of spiritual needs, such as a life re-eval</w:t>
      </w:r>
      <w:r>
        <w:rPr>
          <w:sz w:val="24"/>
          <w:szCs w:val="24"/>
          <w:lang w:val="en-US"/>
        </w:rPr>
        <w:t>uation, discovering meaning, and exploring beliefs about an afterlife.</w:t>
      </w: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en-US"/>
        </w:rPr>
        <w:t>Research has supported the fact that spirituality can help people in giving a meaning to their lives, to the illness, and to their upcoming death.</w:t>
      </w: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en-US"/>
        </w:rPr>
        <w:t>The differences between psychologica</w:t>
      </w:r>
      <w:r>
        <w:rPr>
          <w:sz w:val="24"/>
          <w:szCs w:val="24"/>
          <w:lang w:val="en-US"/>
        </w:rPr>
        <w:t>l, religious and spiritual care for the suffering, sick and dying will be clarified, as well as the different options for belief in an afterlife.</w:t>
      </w: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en-US"/>
        </w:rPr>
        <w:t xml:space="preserve"> Practical tools for helping patients at that stage of their lives will be offered, such as the use of guided</w:t>
      </w:r>
      <w:r>
        <w:rPr>
          <w:sz w:val="24"/>
          <w:szCs w:val="24"/>
          <w:lang w:val="en-US"/>
        </w:rPr>
        <w:t xml:space="preserve"> imagery and meditation, and the use of music in palliative care.</w:t>
      </w: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en-US"/>
        </w:rPr>
        <w:t>Spiritual care can offer precious help to patients and to their family members, before, during and after death, and should become an essential part in the curriculum of nursing training.</w:t>
      </w:r>
    </w:p>
    <w:p w:rsidR="003661F1" w:rsidRDefault="003661F1">
      <w:pPr>
        <w:pStyle w:val="Default"/>
        <w:ind w:right="278"/>
        <w:rPr>
          <w:sz w:val="24"/>
          <w:szCs w:val="24"/>
        </w:rPr>
      </w:pPr>
    </w:p>
    <w:p w:rsidR="003661F1" w:rsidRDefault="00FC2549">
      <w:pPr>
        <w:pStyle w:val="Default"/>
        <w:ind w:right="278"/>
        <w:rPr>
          <w:i/>
          <w:iCs/>
          <w:sz w:val="24"/>
          <w:szCs w:val="24"/>
        </w:rPr>
      </w:pPr>
      <w:r>
        <w:rPr>
          <w:i/>
          <w:iCs/>
          <w:sz w:val="24"/>
          <w:szCs w:val="24"/>
          <w:lang w:val="en-US"/>
        </w:rPr>
        <w:t>…</w:t>
      </w:r>
      <w:r>
        <w:rPr>
          <w:i/>
          <w:iCs/>
          <w:sz w:val="24"/>
          <w:szCs w:val="24"/>
          <w:lang w:val="en-US"/>
        </w:rPr>
        <w:t>…………………………………………………………………………</w:t>
      </w:r>
    </w:p>
    <w:p w:rsidR="003661F1" w:rsidRDefault="00FC2549">
      <w:pPr>
        <w:pStyle w:val="Default"/>
        <w:ind w:right="278"/>
        <w:rPr>
          <w:sz w:val="24"/>
          <w:szCs w:val="24"/>
        </w:rPr>
      </w:pPr>
      <w:r>
        <w:rPr>
          <w:sz w:val="24"/>
          <w:szCs w:val="24"/>
          <w:lang w:val="en-US"/>
        </w:rPr>
        <w:t>Publications:</w:t>
      </w:r>
    </w:p>
    <w:p w:rsidR="003661F1" w:rsidRDefault="003661F1">
      <w:pPr>
        <w:pStyle w:val="Default"/>
        <w:ind w:right="278"/>
        <w:rPr>
          <w:sz w:val="24"/>
          <w:szCs w:val="24"/>
        </w:rPr>
      </w:pPr>
    </w:p>
    <w:p w:rsidR="003661F1" w:rsidRDefault="00FC2549">
      <w:pPr>
        <w:pStyle w:val="Default"/>
        <w:numPr>
          <w:ilvl w:val="0"/>
          <w:numId w:val="2"/>
        </w:numPr>
        <w:ind w:right="278"/>
        <w:rPr>
          <w:sz w:val="24"/>
          <w:szCs w:val="24"/>
          <w:lang w:val="de-DE"/>
        </w:rPr>
      </w:pPr>
      <w:r>
        <w:rPr>
          <w:sz w:val="24"/>
          <w:szCs w:val="24"/>
          <w:lang w:val="de-DE"/>
        </w:rPr>
        <w:t>Kashtan, B. in Kreitler, S. &amp; Fleck, G. (2012).</w:t>
      </w:r>
      <w:r>
        <w:rPr>
          <w:i/>
          <w:iCs/>
          <w:sz w:val="24"/>
          <w:szCs w:val="24"/>
        </w:rPr>
        <w:t xml:space="preserve"> “</w:t>
      </w:r>
      <w:r>
        <w:rPr>
          <w:i/>
          <w:iCs/>
          <w:sz w:val="24"/>
          <w:szCs w:val="24"/>
          <w:lang w:val="en-US"/>
        </w:rPr>
        <w:t>Confronting Dying and Death</w:t>
      </w:r>
      <w:r>
        <w:rPr>
          <w:i/>
          <w:iCs/>
          <w:sz w:val="24"/>
          <w:szCs w:val="24"/>
        </w:rPr>
        <w:t>”-</w:t>
      </w:r>
      <w:r>
        <w:rPr>
          <w:b/>
          <w:bCs/>
          <w:i/>
          <w:iCs/>
          <w:sz w:val="24"/>
          <w:szCs w:val="24"/>
        </w:rPr>
        <w:t xml:space="preserve"> </w:t>
      </w:r>
      <w:r>
        <w:rPr>
          <w:sz w:val="24"/>
          <w:szCs w:val="24"/>
          <w:lang w:val="en-US"/>
        </w:rPr>
        <w:t xml:space="preserve">2012 Nova Science Publishers- Chapter 11: </w:t>
      </w:r>
      <w:r>
        <w:rPr>
          <w:i/>
          <w:iCs/>
          <w:sz w:val="24"/>
          <w:szCs w:val="24"/>
          <w:lang w:val="en-US"/>
        </w:rPr>
        <w:t>The Spiritual Point of View: Spiritual Care of the Dying</w:t>
      </w:r>
      <w:r>
        <w:rPr>
          <w:i/>
          <w:iCs/>
          <w:sz w:val="24"/>
          <w:szCs w:val="24"/>
        </w:rPr>
        <w:t>”.</w:t>
      </w:r>
    </w:p>
    <w:p w:rsidR="003661F1" w:rsidRDefault="00FC2549">
      <w:pPr>
        <w:pStyle w:val="Default"/>
        <w:numPr>
          <w:ilvl w:val="0"/>
          <w:numId w:val="2"/>
        </w:numPr>
        <w:ind w:right="278"/>
        <w:rPr>
          <w:i/>
          <w:iCs/>
          <w:sz w:val="24"/>
          <w:szCs w:val="24"/>
        </w:rPr>
      </w:pPr>
      <w:r>
        <w:rPr>
          <w:sz w:val="24"/>
          <w:szCs w:val="24"/>
        </w:rPr>
        <w:t xml:space="preserve">Balk, D.E. (2007). </w:t>
      </w:r>
      <w:r>
        <w:rPr>
          <w:i/>
          <w:iCs/>
          <w:sz w:val="24"/>
          <w:szCs w:val="24"/>
          <w:lang w:val="en-US"/>
        </w:rPr>
        <w:t>Handbook of T</w:t>
      </w:r>
      <w:r>
        <w:rPr>
          <w:i/>
          <w:iCs/>
          <w:sz w:val="24"/>
          <w:szCs w:val="24"/>
          <w:lang w:val="en-US"/>
        </w:rPr>
        <w:t xml:space="preserve">hanatology: The essential body of knowledge for the study of death, dying, and bereavement. </w:t>
      </w:r>
      <w:r>
        <w:rPr>
          <w:sz w:val="24"/>
          <w:szCs w:val="24"/>
          <w:lang w:val="en-US"/>
        </w:rPr>
        <w:t xml:space="preserve">Northbrook Association for Death Education and </w:t>
      </w:r>
      <w:proofErr w:type="spellStart"/>
      <w:r>
        <w:rPr>
          <w:sz w:val="24"/>
          <w:szCs w:val="24"/>
          <w:lang w:val="en-US"/>
        </w:rPr>
        <w:t>Counselling</w:t>
      </w:r>
      <w:proofErr w:type="spellEnd"/>
      <w:r>
        <w:rPr>
          <w:sz w:val="24"/>
          <w:szCs w:val="24"/>
          <w:lang w:val="en-US"/>
        </w:rPr>
        <w:t xml:space="preserve">, </w:t>
      </w:r>
      <w:proofErr w:type="gramStart"/>
      <w:r>
        <w:rPr>
          <w:sz w:val="24"/>
          <w:szCs w:val="24"/>
          <w:lang w:val="en-US"/>
        </w:rPr>
        <w:t>The</w:t>
      </w:r>
      <w:proofErr w:type="gramEnd"/>
      <w:r>
        <w:rPr>
          <w:sz w:val="24"/>
          <w:szCs w:val="24"/>
          <w:lang w:val="en-US"/>
        </w:rPr>
        <w:t xml:space="preserve"> Thanatology Press.</w:t>
      </w:r>
    </w:p>
    <w:p w:rsidR="003661F1" w:rsidRDefault="00FC2549">
      <w:pPr>
        <w:pStyle w:val="Default"/>
        <w:numPr>
          <w:ilvl w:val="0"/>
          <w:numId w:val="2"/>
        </w:numPr>
        <w:ind w:right="278"/>
        <w:rPr>
          <w:i/>
          <w:iCs/>
          <w:sz w:val="24"/>
          <w:szCs w:val="24"/>
          <w:lang w:val="it-IT"/>
        </w:rPr>
      </w:pPr>
      <w:r>
        <w:rPr>
          <w:sz w:val="24"/>
          <w:szCs w:val="24"/>
          <w:lang w:val="it-IT"/>
        </w:rPr>
        <w:t>Cochinov, H.M. &amp; Cann, B.J. (2005).</w:t>
      </w:r>
      <w:r>
        <w:rPr>
          <w:i/>
          <w:iCs/>
          <w:sz w:val="24"/>
          <w:szCs w:val="24"/>
          <w:lang w:val="en-US"/>
        </w:rPr>
        <w:t xml:space="preserve"> Interventions to enhance the spiritual aspect</w:t>
      </w:r>
      <w:r>
        <w:rPr>
          <w:i/>
          <w:iCs/>
          <w:sz w:val="24"/>
          <w:szCs w:val="24"/>
          <w:lang w:val="en-US"/>
        </w:rPr>
        <w:t>s of dying. Journal of Palliative Medicine, 8 Suppl.1, 103-115</w:t>
      </w:r>
    </w:p>
    <w:p w:rsidR="003661F1" w:rsidRDefault="00FC2549">
      <w:pPr>
        <w:pStyle w:val="Default"/>
        <w:numPr>
          <w:ilvl w:val="0"/>
          <w:numId w:val="2"/>
        </w:numPr>
        <w:ind w:right="278"/>
        <w:rPr>
          <w:sz w:val="24"/>
          <w:szCs w:val="24"/>
          <w:lang w:val="en-US"/>
        </w:rPr>
      </w:pPr>
      <w:proofErr w:type="spellStart"/>
      <w:r>
        <w:rPr>
          <w:sz w:val="24"/>
          <w:szCs w:val="24"/>
          <w:lang w:val="en-US"/>
        </w:rPr>
        <w:t>Doka</w:t>
      </w:r>
      <w:proofErr w:type="spellEnd"/>
      <w:r>
        <w:rPr>
          <w:sz w:val="24"/>
          <w:szCs w:val="24"/>
          <w:lang w:val="en-US"/>
        </w:rPr>
        <w:t xml:space="preserve">, K.J. (1993). Death and Spirituality (Ed.). Amityville, NY: </w:t>
      </w:r>
      <w:proofErr w:type="spellStart"/>
      <w:r>
        <w:rPr>
          <w:sz w:val="24"/>
          <w:szCs w:val="24"/>
          <w:lang w:val="en-US"/>
        </w:rPr>
        <w:t>Baywood</w:t>
      </w:r>
      <w:proofErr w:type="spellEnd"/>
      <w:r>
        <w:rPr>
          <w:sz w:val="24"/>
          <w:szCs w:val="24"/>
          <w:lang w:val="en-US"/>
        </w:rPr>
        <w:t xml:space="preserve"> Press.</w:t>
      </w:r>
    </w:p>
    <w:p w:rsidR="003661F1" w:rsidRDefault="00FC2549">
      <w:pPr>
        <w:pStyle w:val="Default"/>
        <w:numPr>
          <w:ilvl w:val="0"/>
          <w:numId w:val="2"/>
        </w:numPr>
        <w:ind w:right="278"/>
        <w:rPr>
          <w:i/>
          <w:iCs/>
          <w:sz w:val="24"/>
          <w:szCs w:val="24"/>
        </w:rPr>
      </w:pPr>
      <w:proofErr w:type="spellStart"/>
      <w:r>
        <w:rPr>
          <w:sz w:val="24"/>
          <w:szCs w:val="24"/>
        </w:rPr>
        <w:t>Doka</w:t>
      </w:r>
      <w:proofErr w:type="spellEnd"/>
      <w:r>
        <w:rPr>
          <w:sz w:val="24"/>
          <w:szCs w:val="24"/>
        </w:rPr>
        <w:t xml:space="preserve">, K.J. (2007). In </w:t>
      </w:r>
      <w:r>
        <w:rPr>
          <w:i/>
          <w:iCs/>
          <w:sz w:val="24"/>
          <w:szCs w:val="24"/>
          <w:lang w:val="en-US"/>
        </w:rPr>
        <w:t xml:space="preserve">Handbook of Thanatology: The essential body of knowledge for the study of death, dying, and bereavement. </w:t>
      </w:r>
      <w:r>
        <w:rPr>
          <w:sz w:val="24"/>
          <w:szCs w:val="24"/>
          <w:lang w:val="en-US"/>
        </w:rPr>
        <w:t xml:space="preserve">Northbrook: Association for Death Education and </w:t>
      </w:r>
      <w:proofErr w:type="spellStart"/>
      <w:r>
        <w:rPr>
          <w:sz w:val="24"/>
          <w:szCs w:val="24"/>
          <w:lang w:val="en-US"/>
        </w:rPr>
        <w:t>Counselling</w:t>
      </w:r>
      <w:proofErr w:type="spellEnd"/>
      <w:r>
        <w:rPr>
          <w:sz w:val="24"/>
          <w:szCs w:val="24"/>
          <w:lang w:val="en-US"/>
        </w:rPr>
        <w:t xml:space="preserve">, </w:t>
      </w:r>
      <w:proofErr w:type="gramStart"/>
      <w:r>
        <w:rPr>
          <w:sz w:val="24"/>
          <w:szCs w:val="24"/>
          <w:lang w:val="en-US"/>
        </w:rPr>
        <w:t>The</w:t>
      </w:r>
      <w:proofErr w:type="gramEnd"/>
      <w:r>
        <w:rPr>
          <w:sz w:val="24"/>
          <w:szCs w:val="24"/>
          <w:lang w:val="en-US"/>
        </w:rPr>
        <w:t xml:space="preserve"> Thanatology Press.</w:t>
      </w:r>
    </w:p>
    <w:p w:rsidR="003661F1" w:rsidRDefault="00FC2549">
      <w:pPr>
        <w:pStyle w:val="Default"/>
        <w:numPr>
          <w:ilvl w:val="0"/>
          <w:numId w:val="2"/>
        </w:numPr>
        <w:ind w:right="278"/>
        <w:rPr>
          <w:i/>
          <w:iCs/>
          <w:sz w:val="24"/>
          <w:szCs w:val="24"/>
          <w:lang w:val="en-US"/>
        </w:rPr>
      </w:pPr>
      <w:r>
        <w:rPr>
          <w:sz w:val="24"/>
          <w:szCs w:val="24"/>
          <w:lang w:val="en-US"/>
        </w:rPr>
        <w:t xml:space="preserve">Aldridge, D. (1999). </w:t>
      </w:r>
      <w:r>
        <w:rPr>
          <w:i/>
          <w:iCs/>
          <w:sz w:val="24"/>
          <w:szCs w:val="24"/>
          <w:lang w:val="en-US"/>
        </w:rPr>
        <w:t xml:space="preserve">Music Therapy in Palliative care: New Voices. </w:t>
      </w:r>
      <w:r>
        <w:rPr>
          <w:sz w:val="24"/>
          <w:szCs w:val="24"/>
          <w:lang w:val="en-US"/>
        </w:rPr>
        <w:t>London: Jessica Kingsley Publishers.</w:t>
      </w:r>
    </w:p>
    <w:p w:rsidR="003661F1" w:rsidRDefault="003661F1">
      <w:pPr>
        <w:pStyle w:val="Default"/>
        <w:ind w:right="278"/>
        <w:rPr>
          <w:sz w:val="24"/>
          <w:szCs w:val="24"/>
        </w:rPr>
      </w:pPr>
    </w:p>
    <w:p w:rsidR="003661F1" w:rsidRDefault="00FC2549">
      <w:pPr>
        <w:pStyle w:val="Default"/>
        <w:ind w:right="278"/>
        <w:rPr>
          <w:sz w:val="24"/>
          <w:szCs w:val="24"/>
        </w:rPr>
      </w:pPr>
      <w:r>
        <w:rPr>
          <w:sz w:val="24"/>
          <w:szCs w:val="24"/>
          <w:lang w:val="en-US"/>
        </w:rPr>
        <w:t>------------------------------------------------------------------------------------</w:t>
      </w:r>
    </w:p>
    <w:p w:rsidR="003661F1" w:rsidRDefault="00FC2549">
      <w:pPr>
        <w:pStyle w:val="Default"/>
        <w:ind w:right="278"/>
        <w:rPr>
          <w:sz w:val="24"/>
          <w:szCs w:val="24"/>
        </w:rPr>
      </w:pPr>
      <w:proofErr w:type="spellStart"/>
      <w:r>
        <w:rPr>
          <w:sz w:val="24"/>
          <w:szCs w:val="24"/>
          <w:lang w:val="fr-FR"/>
        </w:rPr>
        <w:t>Biography</w:t>
      </w:r>
      <w:proofErr w:type="spellEnd"/>
      <w:r>
        <w:rPr>
          <w:sz w:val="24"/>
          <w:szCs w:val="24"/>
          <w:lang w:val="en-US"/>
        </w:rPr>
        <w:t>:</w:t>
      </w:r>
    </w:p>
    <w:p w:rsidR="003661F1" w:rsidRDefault="00FC2549">
      <w:pPr>
        <w:pStyle w:val="Default"/>
        <w:ind w:right="278"/>
        <w:rPr>
          <w:sz w:val="24"/>
          <w:szCs w:val="24"/>
        </w:rPr>
      </w:pPr>
      <w:r>
        <w:rPr>
          <w:sz w:val="24"/>
          <w:szCs w:val="24"/>
          <w:lang w:val="en-US"/>
        </w:rPr>
        <w:t xml:space="preserve">Brigitte </w:t>
      </w:r>
      <w:proofErr w:type="spellStart"/>
      <w:r>
        <w:rPr>
          <w:sz w:val="24"/>
          <w:szCs w:val="24"/>
          <w:lang w:val="en-US"/>
        </w:rPr>
        <w:t>Kashtan</w:t>
      </w:r>
      <w:proofErr w:type="spellEnd"/>
      <w:r>
        <w:rPr>
          <w:sz w:val="24"/>
          <w:szCs w:val="24"/>
          <w:lang w:val="en-US"/>
        </w:rPr>
        <w:t xml:space="preserve"> is a senior clinical psychologist and a lecturer </w:t>
      </w:r>
      <w:proofErr w:type="spellStart"/>
      <w:r>
        <w:rPr>
          <w:sz w:val="24"/>
          <w:szCs w:val="24"/>
          <w:lang w:val="en-US"/>
        </w:rPr>
        <w:t>specialising</w:t>
      </w:r>
      <w:proofErr w:type="spellEnd"/>
      <w:r>
        <w:rPr>
          <w:sz w:val="24"/>
          <w:szCs w:val="24"/>
          <w:lang w:val="en-US"/>
        </w:rPr>
        <w:t xml:space="preserve"> in transpersonal therapy, psycho-spiritual palliative care, and music therapy. She is passionate in researching the meaning of living and dying, helping her patients connecting to their full potential, and teaching these in theoretical and practical ways.</w:t>
      </w:r>
    </w:p>
    <w:p w:rsidR="003661F1" w:rsidRDefault="00FC2549">
      <w:pPr>
        <w:pStyle w:val="Default"/>
        <w:ind w:right="278"/>
        <w:rPr>
          <w:sz w:val="24"/>
          <w:szCs w:val="24"/>
        </w:rPr>
      </w:pPr>
      <w:r>
        <w:rPr>
          <w:sz w:val="24"/>
          <w:szCs w:val="24"/>
          <w:lang w:val="de-DE"/>
        </w:rPr>
        <w:t>Brigitte Kashtan</w:t>
      </w:r>
    </w:p>
    <w:p w:rsidR="003661F1" w:rsidRDefault="00FC2549">
      <w:pPr>
        <w:pStyle w:val="Default"/>
        <w:ind w:right="278"/>
        <w:rPr>
          <w:sz w:val="24"/>
          <w:szCs w:val="24"/>
        </w:rPr>
      </w:pPr>
      <w:r>
        <w:rPr>
          <w:color w:val="0079CC"/>
          <w:sz w:val="24"/>
          <w:szCs w:val="24"/>
          <w:u w:val="single"/>
        </w:rPr>
        <w:t>bkashtan@netvision.net.il</w:t>
      </w:r>
    </w:p>
    <w:p w:rsidR="003661F1" w:rsidRDefault="00FC2549">
      <w:pPr>
        <w:pStyle w:val="Default"/>
        <w:ind w:right="278"/>
        <w:rPr>
          <w:sz w:val="24"/>
          <w:szCs w:val="24"/>
        </w:rPr>
      </w:pPr>
      <w:r>
        <w:rPr>
          <w:sz w:val="24"/>
          <w:szCs w:val="24"/>
          <w:lang w:val="en-US"/>
        </w:rPr>
        <w:lastRenderedPageBreak/>
        <w:t>Twitter account: @</w:t>
      </w:r>
      <w:proofErr w:type="spellStart"/>
      <w:r>
        <w:rPr>
          <w:sz w:val="24"/>
          <w:szCs w:val="24"/>
          <w:lang w:val="en-US"/>
        </w:rPr>
        <w:t>KashtanBrigitte</w:t>
      </w:r>
      <w:proofErr w:type="spellEnd"/>
    </w:p>
    <w:p w:rsidR="003661F1" w:rsidRDefault="00FC2549">
      <w:pPr>
        <w:pStyle w:val="Default"/>
        <w:ind w:right="278"/>
        <w:rPr>
          <w:sz w:val="24"/>
          <w:szCs w:val="24"/>
        </w:rPr>
      </w:pPr>
      <w:r>
        <w:rPr>
          <w:sz w:val="24"/>
          <w:szCs w:val="24"/>
          <w:lang w:val="en-US"/>
        </w:rPr>
        <w:t xml:space="preserve">LinkedIn </w:t>
      </w:r>
      <w:proofErr w:type="gramStart"/>
      <w:r>
        <w:rPr>
          <w:sz w:val="24"/>
          <w:szCs w:val="24"/>
          <w:lang w:val="en-US"/>
        </w:rPr>
        <w:t>account</w:t>
      </w:r>
      <w:r>
        <w:rPr>
          <w:sz w:val="24"/>
          <w:szCs w:val="24"/>
        </w:rPr>
        <w:t> </w:t>
      </w:r>
      <w:r>
        <w:rPr>
          <w:sz w:val="24"/>
          <w:szCs w:val="24"/>
          <w:lang w:val="de-DE"/>
        </w:rPr>
        <w:t>:</w:t>
      </w:r>
      <w:proofErr w:type="gramEnd"/>
      <w:r>
        <w:rPr>
          <w:sz w:val="24"/>
          <w:szCs w:val="24"/>
          <w:lang w:val="de-DE"/>
        </w:rPr>
        <w:t xml:space="preserve"> Brigitte Kashtan Jacob</w:t>
      </w: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3661F1">
      <w:pPr>
        <w:pStyle w:val="Default"/>
        <w:ind w:right="278"/>
        <w:rPr>
          <w:sz w:val="24"/>
          <w:szCs w:val="24"/>
        </w:rPr>
      </w:pPr>
    </w:p>
    <w:p w:rsidR="003661F1" w:rsidRDefault="003661F1">
      <w:pPr>
        <w:pStyle w:val="Default"/>
        <w:ind w:right="278"/>
      </w:pPr>
    </w:p>
    <w:sectPr w:rsidR="003661F1">
      <w:headerReference w:type="default" r:id="rId8"/>
      <w:foot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549" w:rsidRDefault="00FC2549">
      <w:r>
        <w:separator/>
      </w:r>
    </w:p>
  </w:endnote>
  <w:endnote w:type="continuationSeparator" w:id="0">
    <w:p w:rsidR="00FC2549" w:rsidRDefault="00FC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1F1" w:rsidRDefault="003661F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549" w:rsidRDefault="00FC2549">
      <w:r>
        <w:separator/>
      </w:r>
    </w:p>
  </w:footnote>
  <w:footnote w:type="continuationSeparator" w:id="0">
    <w:p w:rsidR="00FC2549" w:rsidRDefault="00FC25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1F1" w:rsidRDefault="003661F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52DBC"/>
    <w:multiLevelType w:val="hybridMultilevel"/>
    <w:tmpl w:val="B61CDBB6"/>
    <w:numStyleLink w:val="Numbered"/>
  </w:abstractNum>
  <w:abstractNum w:abstractNumId="1">
    <w:nsid w:val="4D5879AB"/>
    <w:multiLevelType w:val="hybridMultilevel"/>
    <w:tmpl w:val="B61CDBB6"/>
    <w:styleLink w:val="Numbered"/>
    <w:lvl w:ilvl="0" w:tplc="852209BE">
      <w:start w:val="1"/>
      <w:numFmt w:val="decimal"/>
      <w:suff w:val="nothing"/>
      <w:lvlText w:val="%1."/>
      <w:lvlJc w:val="left"/>
      <w:pPr>
        <w:ind w:left="360" w:firstLine="360"/>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1" w:tplc="2918EDBC">
      <w:start w:val="1"/>
      <w:numFmt w:val="decimal"/>
      <w:suff w:val="nothing"/>
      <w:lvlText w:val="%2."/>
      <w:lvlJc w:val="left"/>
      <w:pPr>
        <w:ind w:left="64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2" w:tplc="D6700A64">
      <w:start w:val="1"/>
      <w:numFmt w:val="decimal"/>
      <w:suff w:val="nothing"/>
      <w:lvlText w:val="%3."/>
      <w:lvlJc w:val="left"/>
      <w:pPr>
        <w:ind w:left="82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3" w:tplc="0B921AD6">
      <w:start w:val="1"/>
      <w:numFmt w:val="decimal"/>
      <w:suff w:val="nothing"/>
      <w:lvlText w:val="%4."/>
      <w:lvlJc w:val="left"/>
      <w:pPr>
        <w:ind w:left="100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4" w:tplc="015C9A58">
      <w:start w:val="1"/>
      <w:numFmt w:val="decimal"/>
      <w:suff w:val="nothing"/>
      <w:lvlText w:val="%5."/>
      <w:lvlJc w:val="left"/>
      <w:pPr>
        <w:ind w:left="118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5" w:tplc="8E9C9CC6">
      <w:start w:val="1"/>
      <w:numFmt w:val="decimal"/>
      <w:suff w:val="nothing"/>
      <w:lvlText w:val="%6."/>
      <w:lvlJc w:val="left"/>
      <w:pPr>
        <w:ind w:left="136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6" w:tplc="D80AA6E0">
      <w:start w:val="1"/>
      <w:numFmt w:val="decimal"/>
      <w:suff w:val="nothing"/>
      <w:lvlText w:val="%7."/>
      <w:lvlJc w:val="left"/>
      <w:pPr>
        <w:ind w:left="154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7" w:tplc="480AFFA8">
      <w:start w:val="1"/>
      <w:numFmt w:val="decimal"/>
      <w:suff w:val="nothing"/>
      <w:lvlText w:val="%8."/>
      <w:lvlJc w:val="left"/>
      <w:pPr>
        <w:ind w:left="172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8" w:tplc="9C562BEE">
      <w:start w:val="1"/>
      <w:numFmt w:val="decimal"/>
      <w:suff w:val="nothing"/>
      <w:lvlText w:val="%9."/>
      <w:lvlJc w:val="left"/>
      <w:pPr>
        <w:ind w:left="190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661F1"/>
    <w:rsid w:val="003661F1"/>
    <w:rsid w:val="005F08DD"/>
    <w:rsid w:val="00FC25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Numbered">
    <w:name w:val="Numbere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9th International Conference on Infectious Diseases, Bacteriology and Antibiotics</dc:creator>
  <cp:lastModifiedBy>infectious-2022</cp:lastModifiedBy>
  <cp:revision>2</cp:revision>
  <dcterms:created xsi:type="dcterms:W3CDTF">2022-07-15T03:48:00Z</dcterms:created>
  <dcterms:modified xsi:type="dcterms:W3CDTF">2022-07-15T03:48:00Z</dcterms:modified>
</cp:coreProperties>
</file>