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0"/>
        <w:ind w:left="1737" w:right="1735" w:firstLine="0"/>
        <w:jc w:val="center"/>
        <w:rPr>
          <w:sz w:val="28"/>
        </w:rPr>
      </w:pPr>
      <w:r>
        <w:rPr>
          <w:b/>
          <w:color w:val="1F1F1E"/>
          <w:sz w:val="28"/>
        </w:rPr>
        <w:t>41</w:t>
      </w:r>
      <w:r>
        <w:rPr>
          <w:b/>
          <w:color w:val="1F1F1E"/>
          <w:sz w:val="28"/>
          <w:vertAlign w:val="superscript"/>
        </w:rPr>
        <w:t>st</w:t>
      </w:r>
      <w:r>
        <w:rPr>
          <w:b/>
          <w:color w:val="1F1F1E"/>
          <w:spacing w:val="-2"/>
          <w:sz w:val="28"/>
          <w:vertAlign w:val="baseline"/>
        </w:rPr>
        <w:t> </w:t>
      </w:r>
      <w:r>
        <w:rPr>
          <w:b/>
          <w:color w:val="1F1F1E"/>
          <w:sz w:val="28"/>
          <w:vertAlign w:val="baseline"/>
        </w:rPr>
        <w:t>World</w:t>
      </w:r>
      <w:r>
        <w:rPr>
          <w:b/>
          <w:color w:val="1F1F1E"/>
          <w:spacing w:val="-2"/>
          <w:sz w:val="28"/>
          <w:vertAlign w:val="baseline"/>
        </w:rPr>
        <w:t> </w:t>
      </w:r>
      <w:r>
        <w:rPr>
          <w:b/>
          <w:color w:val="1F1F1E"/>
          <w:sz w:val="28"/>
          <w:vertAlign w:val="baseline"/>
        </w:rPr>
        <w:t>Cancer</w:t>
      </w:r>
      <w:r>
        <w:rPr>
          <w:b/>
          <w:color w:val="1F1F1E"/>
          <w:spacing w:val="-4"/>
          <w:sz w:val="28"/>
          <w:vertAlign w:val="baseline"/>
        </w:rPr>
        <w:t> </w:t>
      </w:r>
      <w:r>
        <w:rPr>
          <w:b/>
          <w:color w:val="1F1F1E"/>
          <w:sz w:val="28"/>
          <w:vertAlign w:val="baseline"/>
        </w:rPr>
        <w:t>Conference</w:t>
      </w:r>
      <w:r>
        <w:rPr>
          <w:b/>
          <w:color w:val="1F1F1E"/>
          <w:spacing w:val="-2"/>
          <w:sz w:val="28"/>
          <w:vertAlign w:val="baseline"/>
        </w:rPr>
        <w:t> </w:t>
      </w:r>
      <w:r>
        <w:rPr>
          <w:color w:val="1F1F1E"/>
          <w:sz w:val="28"/>
          <w:vertAlign w:val="baseline"/>
        </w:rPr>
        <w:t>(World</w:t>
      </w:r>
      <w:r>
        <w:rPr>
          <w:color w:val="1F1F1E"/>
          <w:spacing w:val="-3"/>
          <w:sz w:val="28"/>
          <w:vertAlign w:val="baseline"/>
        </w:rPr>
        <w:t> </w:t>
      </w:r>
      <w:r>
        <w:rPr>
          <w:color w:val="1F1F1E"/>
          <w:sz w:val="28"/>
          <w:vertAlign w:val="baseline"/>
        </w:rPr>
        <w:t>Cancer</w:t>
      </w:r>
      <w:r>
        <w:rPr>
          <w:color w:val="1F1F1E"/>
          <w:spacing w:val="-2"/>
          <w:sz w:val="28"/>
          <w:vertAlign w:val="baseline"/>
        </w:rPr>
        <w:t> </w:t>
      </w:r>
      <w:r>
        <w:rPr>
          <w:color w:val="1F1F1E"/>
          <w:sz w:val="28"/>
          <w:vertAlign w:val="baseline"/>
        </w:rPr>
        <w:t>2022)</w:t>
      </w:r>
    </w:p>
    <w:p>
      <w:pPr>
        <w:pStyle w:val="BodyText"/>
        <w:spacing w:before="238"/>
        <w:ind w:left="120"/>
        <w:jc w:val="both"/>
      </w:pPr>
      <w:r>
        <w:rPr/>
        <w:t>Ravi</w:t>
      </w:r>
      <w:r>
        <w:rPr>
          <w:spacing w:val="-1"/>
        </w:rPr>
        <w:t> </w:t>
      </w:r>
      <w:r>
        <w:rPr/>
        <w:t>P.</w:t>
      </w:r>
      <w:r>
        <w:rPr>
          <w:spacing w:val="-1"/>
        </w:rPr>
        <w:t> </w:t>
      </w:r>
      <w:r>
        <w:rPr/>
        <w:t>Sahu,</w:t>
      </w:r>
      <w:r>
        <w:rPr>
          <w:spacing w:val="-1"/>
        </w:rPr>
        <w:t> </w:t>
      </w:r>
      <w:r>
        <w:rPr/>
        <w:t>Ph.D.</w:t>
      </w: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259" w:lineRule="auto" w:before="1"/>
        <w:ind w:left="120" w:right="117"/>
        <w:jc w:val="both"/>
      </w:pPr>
      <w:r>
        <w:rPr/>
        <w:t>Department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Pharmacology and</w:t>
      </w:r>
      <w:r>
        <w:rPr>
          <w:spacing w:val="1"/>
        </w:rPr>
        <w:t> </w:t>
      </w:r>
      <w:r>
        <w:rPr/>
        <w:t>Toxicology,</w:t>
      </w:r>
      <w:r>
        <w:rPr>
          <w:spacing w:val="1"/>
        </w:rPr>
        <w:t> </w:t>
      </w:r>
      <w:r>
        <w:rPr/>
        <w:t>Boonshoft</w:t>
      </w:r>
      <w:r>
        <w:rPr>
          <w:spacing w:val="1"/>
        </w:rPr>
        <w:t> </w:t>
      </w:r>
      <w:r>
        <w:rPr/>
        <w:t>School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Medicine</w:t>
      </w:r>
      <w:r>
        <w:rPr>
          <w:spacing w:val="1"/>
        </w:rPr>
        <w:t> </w:t>
      </w:r>
      <w:r>
        <w:rPr/>
        <w:t>Wright</w:t>
      </w:r>
      <w:r>
        <w:rPr>
          <w:spacing w:val="1"/>
        </w:rPr>
        <w:t> </w:t>
      </w:r>
      <w:r>
        <w:rPr/>
        <w:t>State</w:t>
      </w:r>
      <w:r>
        <w:rPr>
          <w:spacing w:val="-57"/>
        </w:rPr>
        <w:t> </w:t>
      </w:r>
      <w:r>
        <w:rPr/>
        <w:t>University,</w:t>
      </w:r>
      <w:r>
        <w:rPr>
          <w:spacing w:val="-1"/>
        </w:rPr>
        <w:t> </w:t>
      </w:r>
      <w:r>
        <w:rPr/>
        <w:t>Dayton, OH</w:t>
      </w:r>
      <w:r>
        <w:rPr>
          <w:spacing w:val="1"/>
        </w:rPr>
        <w:t> </w:t>
      </w:r>
      <w:r>
        <w:rPr/>
        <w:t>45435</w:t>
      </w:r>
    </w:p>
    <w:p>
      <w:pPr>
        <w:pStyle w:val="BodyText"/>
        <w:spacing w:before="10"/>
        <w:rPr>
          <w:sz w:val="23"/>
        </w:rPr>
      </w:pPr>
    </w:p>
    <w:p>
      <w:pPr>
        <w:pStyle w:val="Title"/>
      </w:pPr>
      <w:r>
        <w:rPr>
          <w:spacing w:val="-1"/>
        </w:rPr>
        <w:t>MiRNA-149-5p</w:t>
      </w:r>
      <w:r>
        <w:rPr>
          <w:spacing w:val="-12"/>
        </w:rPr>
        <w:t> </w:t>
      </w:r>
      <w:r>
        <w:rPr>
          <w:spacing w:val="-1"/>
        </w:rPr>
        <w:t>and</w:t>
      </w:r>
      <w:r>
        <w:rPr>
          <w:spacing w:val="-12"/>
        </w:rPr>
        <w:t> </w:t>
      </w:r>
      <w:r>
        <w:rPr>
          <w:spacing w:val="-1"/>
        </w:rPr>
        <w:t>Platelet-activating</w:t>
      </w:r>
      <w:r>
        <w:rPr>
          <w:spacing w:val="-11"/>
        </w:rPr>
        <w:t> </w:t>
      </w:r>
      <w:r>
        <w:rPr/>
        <w:t>factor-receptor</w:t>
      </w:r>
      <w:r>
        <w:rPr>
          <w:spacing w:val="-13"/>
        </w:rPr>
        <w:t> </w:t>
      </w:r>
      <w:r>
        <w:rPr/>
        <w:t>signaling</w:t>
      </w:r>
      <w:r>
        <w:rPr>
          <w:spacing w:val="-11"/>
        </w:rPr>
        <w:t> </w:t>
      </w:r>
      <w:r>
        <w:rPr/>
        <w:t>impacts</w:t>
      </w:r>
      <w:r>
        <w:rPr>
          <w:spacing w:val="-12"/>
        </w:rPr>
        <w:t> </w:t>
      </w:r>
      <w:r>
        <w:rPr/>
        <w:t>lung</w:t>
      </w:r>
      <w:r>
        <w:rPr>
          <w:spacing w:val="-14"/>
        </w:rPr>
        <w:t> </w:t>
      </w:r>
      <w:r>
        <w:rPr/>
        <w:t>cancer</w:t>
      </w:r>
      <w:r>
        <w:rPr>
          <w:spacing w:val="-13"/>
        </w:rPr>
        <w:t> </w:t>
      </w:r>
      <w:r>
        <w:rPr/>
        <w:t>growth</w:t>
      </w:r>
      <w:r>
        <w:rPr>
          <w:spacing w:val="-57"/>
        </w:rPr>
        <w:t> </w:t>
      </w:r>
      <w:r>
        <w:rPr/>
        <w:t>and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efficacy of</w:t>
      </w:r>
      <w:r>
        <w:rPr>
          <w:spacing w:val="1"/>
        </w:rPr>
        <w:t> </w:t>
      </w:r>
      <w:r>
        <w:rPr/>
        <w:t>targeted</w:t>
      </w:r>
      <w:r>
        <w:rPr>
          <w:spacing w:val="1"/>
        </w:rPr>
        <w:t> </w:t>
      </w:r>
      <w:r>
        <w:rPr/>
        <w:t>therapy</w:t>
      </w:r>
    </w:p>
    <w:p>
      <w:pPr>
        <w:pStyle w:val="BodyText"/>
        <w:rPr>
          <w:b/>
        </w:rPr>
      </w:pPr>
    </w:p>
    <w:p>
      <w:pPr>
        <w:pStyle w:val="BodyText"/>
        <w:ind w:left="119" w:right="115"/>
        <w:jc w:val="both"/>
      </w:pPr>
      <w:r>
        <w:rPr>
          <w:b/>
        </w:rPr>
        <w:t>Abstract: </w:t>
      </w:r>
      <w:r>
        <w:rPr/>
        <w:t>Lung cancer remains one of the highly aggressive malignancies associated with poor</w:t>
      </w:r>
      <w:r>
        <w:rPr>
          <w:spacing w:val="1"/>
        </w:rPr>
        <w:t> </w:t>
      </w:r>
      <w:r>
        <w:rPr/>
        <w:t>prognosis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increased</w:t>
      </w:r>
      <w:r>
        <w:rPr>
          <w:spacing w:val="-1"/>
        </w:rPr>
        <w:t> </w:t>
      </w:r>
      <w:r>
        <w:rPr/>
        <w:t>mortality</w:t>
      </w:r>
      <w:r>
        <w:rPr>
          <w:spacing w:val="-9"/>
        </w:rPr>
        <w:t> </w:t>
      </w:r>
      <w:r>
        <w:rPr/>
        <w:t>rates.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two</w:t>
      </w:r>
      <w:r>
        <w:rPr>
          <w:spacing w:val="-4"/>
        </w:rPr>
        <w:t> </w:t>
      </w:r>
      <w:r>
        <w:rPr/>
        <w:t>major</w:t>
      </w:r>
      <w:r>
        <w:rPr>
          <w:spacing w:val="-5"/>
        </w:rPr>
        <w:t> </w:t>
      </w:r>
      <w:r>
        <w:rPr/>
        <w:t>types,</w:t>
      </w:r>
      <w:r>
        <w:rPr>
          <w:spacing w:val="-4"/>
        </w:rPr>
        <w:t> </w:t>
      </w:r>
      <w:r>
        <w:rPr/>
        <w:t>non-small</w:t>
      </w:r>
      <w:r>
        <w:rPr>
          <w:spacing w:val="-4"/>
        </w:rPr>
        <w:t> </w:t>
      </w:r>
      <w:r>
        <w:rPr/>
        <w:t>cell</w:t>
      </w:r>
      <w:r>
        <w:rPr>
          <w:spacing w:val="-1"/>
        </w:rPr>
        <w:t> </w:t>
      </w:r>
      <w:r>
        <w:rPr/>
        <w:t>lung</w:t>
      </w:r>
      <w:r>
        <w:rPr>
          <w:spacing w:val="-6"/>
        </w:rPr>
        <w:t> </w:t>
      </w:r>
      <w:r>
        <w:rPr/>
        <w:t>cancer</w:t>
      </w:r>
      <w:r>
        <w:rPr>
          <w:spacing w:val="-5"/>
        </w:rPr>
        <w:t> </w:t>
      </w:r>
      <w:r>
        <w:rPr/>
        <w:t>(NSCLC)</w:t>
      </w:r>
      <w:r>
        <w:rPr>
          <w:spacing w:val="-57"/>
        </w:rPr>
        <w:t> </w:t>
      </w:r>
      <w:r>
        <w:rPr/>
        <w:t>is the most prevalent type and detected in 80-85% lung cancer cases. Several studies have shown</w:t>
      </w:r>
      <w:r>
        <w:rPr>
          <w:spacing w:val="1"/>
        </w:rPr>
        <w:t> </w:t>
      </w:r>
      <w:r>
        <w:rPr/>
        <w:t>the involvement of multiple signaling pathways in affecting the growth and treatment efficacy</w:t>
      </w:r>
      <w:r>
        <w:rPr>
          <w:spacing w:val="1"/>
        </w:rPr>
        <w:t> </w:t>
      </w:r>
      <w:r>
        <w:rPr/>
        <w:t>using NSCLC models. To that end, the roles of microRNAs (miRs) in essentially all biological</w:t>
      </w:r>
      <w:r>
        <w:rPr>
          <w:spacing w:val="1"/>
        </w:rPr>
        <w:t> </w:t>
      </w:r>
      <w:r>
        <w:rPr/>
        <w:t>processes are evident. The altered expression of miRs has been documented in various disease</w:t>
      </w:r>
      <w:r>
        <w:rPr>
          <w:spacing w:val="1"/>
        </w:rPr>
        <w:t> </w:t>
      </w:r>
      <w:r>
        <w:rPr/>
        <w:t>conditions, including cancer. While multiple mechanisms have been identified in mediating miRs</w:t>
      </w:r>
      <w:r>
        <w:rPr>
          <w:spacing w:val="-58"/>
        </w:rPr>
        <w:t> </w:t>
      </w:r>
      <w:r>
        <w:rPr/>
        <w:t>effects, the involvement of miR-149-5p in Platelet-activating factor-receptor (PAFR)-induced</w:t>
      </w:r>
      <w:r>
        <w:rPr>
          <w:spacing w:val="1"/>
        </w:rPr>
        <w:t> </w:t>
      </w:r>
      <w:r>
        <w:rPr/>
        <w:t>effects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lung</w:t>
      </w:r>
      <w:r>
        <w:rPr>
          <w:spacing w:val="-7"/>
        </w:rPr>
        <w:t> </w:t>
      </w:r>
      <w:r>
        <w:rPr/>
        <w:t>cancer</w:t>
      </w:r>
      <w:r>
        <w:rPr>
          <w:spacing w:val="-2"/>
        </w:rPr>
        <w:t> </w:t>
      </w:r>
      <w:r>
        <w:rPr/>
        <w:t>growth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therapeutic</w:t>
      </w:r>
      <w:r>
        <w:rPr>
          <w:spacing w:val="-6"/>
        </w:rPr>
        <w:t> </w:t>
      </w:r>
      <w:r>
        <w:rPr/>
        <w:t>potential</w:t>
      </w:r>
      <w:r>
        <w:rPr>
          <w:spacing w:val="-3"/>
        </w:rPr>
        <w:t> </w:t>
      </w:r>
      <w:r>
        <w:rPr/>
        <w:t>has</w:t>
      </w:r>
      <w:r>
        <w:rPr>
          <w:spacing w:val="-5"/>
        </w:rPr>
        <w:t> </w:t>
      </w:r>
      <w:r>
        <w:rPr/>
        <w:t>not</w:t>
      </w:r>
      <w:r>
        <w:rPr>
          <w:spacing w:val="-3"/>
        </w:rPr>
        <w:t> </w:t>
      </w:r>
      <w:r>
        <w:rPr/>
        <w:t>been</w:t>
      </w:r>
      <w:r>
        <w:rPr>
          <w:spacing w:val="-5"/>
        </w:rPr>
        <w:t> </w:t>
      </w:r>
      <w:r>
        <w:rPr/>
        <w:t>studied.</w:t>
      </w:r>
      <w:r>
        <w:rPr>
          <w:spacing w:val="-4"/>
        </w:rPr>
        <w:t> </w:t>
      </w:r>
      <w:r>
        <w:rPr/>
        <w:t>Given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oncogenic</w:t>
      </w:r>
      <w:r>
        <w:rPr>
          <w:spacing w:val="-57"/>
        </w:rPr>
        <w:t> </w:t>
      </w:r>
      <w:r>
        <w:rPr/>
        <w:t>and tumor-suppressive roles of miRNA-149-5p, and the oncogenic effect of PAFR signaling in</w:t>
      </w:r>
      <w:r>
        <w:rPr>
          <w:spacing w:val="1"/>
        </w:rPr>
        <w:t> </w:t>
      </w:r>
      <w:r>
        <w:rPr/>
        <w:t>various</w:t>
      </w:r>
      <w:r>
        <w:rPr>
          <w:spacing w:val="-9"/>
        </w:rPr>
        <w:t> </w:t>
      </w:r>
      <w:r>
        <w:rPr/>
        <w:t>cancer</w:t>
      </w:r>
      <w:r>
        <w:rPr>
          <w:spacing w:val="-9"/>
        </w:rPr>
        <w:t> </w:t>
      </w:r>
      <w:r>
        <w:rPr/>
        <w:t>models,</w:t>
      </w:r>
      <w:r>
        <w:rPr>
          <w:spacing w:val="-10"/>
        </w:rPr>
        <w:t> </w:t>
      </w:r>
      <w:r>
        <w:rPr/>
        <w:t>our</w:t>
      </w:r>
      <w:r>
        <w:rPr>
          <w:spacing w:val="-9"/>
        </w:rPr>
        <w:t> </w:t>
      </w:r>
      <w:r>
        <w:rPr/>
        <w:t>studies</w:t>
      </w:r>
      <w:r>
        <w:rPr>
          <w:spacing w:val="-9"/>
        </w:rPr>
        <w:t> </w:t>
      </w:r>
      <w:r>
        <w:rPr/>
        <w:t>sought</w:t>
      </w:r>
      <w:r>
        <w:rPr>
          <w:spacing w:val="-8"/>
        </w:rPr>
        <w:t> </w:t>
      </w:r>
      <w:r>
        <w:rPr/>
        <w:t>to</w:t>
      </w:r>
      <w:r>
        <w:rPr>
          <w:spacing w:val="-10"/>
        </w:rPr>
        <w:t> </w:t>
      </w:r>
      <w:r>
        <w:rPr/>
        <w:t>determine</w:t>
      </w:r>
      <w:r>
        <w:rPr>
          <w:spacing w:val="-10"/>
        </w:rPr>
        <w:t> </w:t>
      </w:r>
      <w:r>
        <w:rPr/>
        <w:t>the</w:t>
      </w:r>
      <w:r>
        <w:rPr>
          <w:spacing w:val="-11"/>
        </w:rPr>
        <w:t> </w:t>
      </w:r>
      <w:r>
        <w:rPr/>
        <w:t>potential</w:t>
      </w:r>
      <w:r>
        <w:rPr>
          <w:spacing w:val="-8"/>
        </w:rPr>
        <w:t> </w:t>
      </w:r>
      <w:r>
        <w:rPr/>
        <w:t>link</w:t>
      </w:r>
      <w:r>
        <w:rPr>
          <w:spacing w:val="-12"/>
        </w:rPr>
        <w:t> </w:t>
      </w:r>
      <w:r>
        <w:rPr/>
        <w:t>between</w:t>
      </w:r>
      <w:r>
        <w:rPr>
          <w:spacing w:val="-9"/>
        </w:rPr>
        <w:t> </w:t>
      </w:r>
      <w:r>
        <w:rPr/>
        <w:t>miR-149-5p</w:t>
      </w:r>
      <w:r>
        <w:rPr>
          <w:spacing w:val="-10"/>
        </w:rPr>
        <w:t> </w:t>
      </w:r>
      <w:r>
        <w:rPr/>
        <w:t>and</w:t>
      </w:r>
      <w:r>
        <w:rPr>
          <w:spacing w:val="-57"/>
        </w:rPr>
        <w:t> </w:t>
      </w:r>
      <w:r>
        <w:rPr/>
        <w:t>PAFR</w:t>
      </w:r>
      <w:r>
        <w:rPr>
          <w:spacing w:val="-6"/>
        </w:rPr>
        <w:t> </w:t>
      </w:r>
      <w:r>
        <w:rPr/>
        <w:t>signaling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NSCLC</w:t>
      </w:r>
      <w:r>
        <w:rPr>
          <w:spacing w:val="-6"/>
        </w:rPr>
        <w:t> </w:t>
      </w:r>
      <w:r>
        <w:rPr/>
        <w:t>models.</w:t>
      </w:r>
      <w:r>
        <w:rPr>
          <w:spacing w:val="-5"/>
        </w:rPr>
        <w:t> </w:t>
      </w:r>
      <w:r>
        <w:rPr/>
        <w:t>Using</w:t>
      </w:r>
      <w:r>
        <w:rPr>
          <w:spacing w:val="-6"/>
        </w:rPr>
        <w:t> </w:t>
      </w:r>
      <w:r>
        <w:rPr/>
        <w:t>A549</w:t>
      </w:r>
      <w:r>
        <w:rPr>
          <w:spacing w:val="-4"/>
        </w:rPr>
        <w:t> </w:t>
      </w:r>
      <w:r>
        <w:rPr/>
        <w:t>and</w:t>
      </w:r>
      <w:r>
        <w:rPr>
          <w:spacing w:val="-6"/>
        </w:rPr>
        <w:t> </w:t>
      </w:r>
      <w:r>
        <w:rPr/>
        <w:t>H1299</w:t>
      </w:r>
      <w:r>
        <w:rPr>
          <w:spacing w:val="-5"/>
        </w:rPr>
        <w:t> </w:t>
      </w:r>
      <w:r>
        <w:rPr/>
        <w:t>cell</w:t>
      </w:r>
      <w:r>
        <w:rPr>
          <w:spacing w:val="-6"/>
        </w:rPr>
        <w:t> </w:t>
      </w:r>
      <w:r>
        <w:rPr/>
        <w:t>lines,</w:t>
      </w:r>
      <w:r>
        <w:rPr>
          <w:spacing w:val="-6"/>
        </w:rPr>
        <w:t> </w:t>
      </w:r>
      <w:r>
        <w:rPr/>
        <w:t>we</w:t>
      </w:r>
      <w:r>
        <w:rPr>
          <w:spacing w:val="-7"/>
        </w:rPr>
        <w:t> </w:t>
      </w:r>
      <w:r>
        <w:rPr/>
        <w:t>first</w:t>
      </w:r>
      <w:r>
        <w:rPr>
          <w:spacing w:val="-5"/>
        </w:rPr>
        <w:t> </w:t>
      </w:r>
      <w:r>
        <w:rPr/>
        <w:t>verified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tumor-</w:t>
      </w:r>
      <w:r>
        <w:rPr>
          <w:spacing w:val="-58"/>
        </w:rPr>
        <w:t> </w:t>
      </w:r>
      <w:r>
        <w:rPr/>
        <w:t>suppressive role of miR-149-5p and the growth proliferative effect of PAFR signaling. Our next</w:t>
      </w:r>
      <w:r>
        <w:rPr>
          <w:spacing w:val="1"/>
        </w:rPr>
        <w:t> </w:t>
      </w:r>
      <w:r>
        <w:rPr/>
        <w:t>studies demonstrated that overexpression of miR-149-5p significantly attenuated PAFR agonist,</w:t>
      </w:r>
      <w:r>
        <w:rPr>
          <w:spacing w:val="1"/>
        </w:rPr>
        <w:t> </w:t>
      </w:r>
      <w:r>
        <w:rPr/>
        <w:t>CPAF-mediated increased proliferation of NSCLC cells. These findings were confirmed by the</w:t>
      </w:r>
      <w:r>
        <w:rPr>
          <w:spacing w:val="1"/>
        </w:rPr>
        <w:t> </w:t>
      </w:r>
      <w:r>
        <w:rPr/>
        <w:t>expression analysis of miR-149-5p, cyclin D1, and forkhead box protein M1 (FOXM1) via qRT-</w:t>
      </w:r>
      <w:r>
        <w:rPr>
          <w:spacing w:val="1"/>
        </w:rPr>
        <w:t> </w:t>
      </w:r>
      <w:r>
        <w:rPr>
          <w:spacing w:val="-1"/>
        </w:rPr>
        <w:t>PCR.</w:t>
      </w:r>
      <w:r>
        <w:rPr>
          <w:spacing w:val="-10"/>
        </w:rPr>
        <w:t> </w:t>
      </w:r>
      <w:r>
        <w:rPr>
          <w:spacing w:val="-1"/>
        </w:rPr>
        <w:t>Our</w:t>
      </w:r>
      <w:r>
        <w:rPr>
          <w:spacing w:val="-11"/>
        </w:rPr>
        <w:t> </w:t>
      </w:r>
      <w:r>
        <w:rPr>
          <w:spacing w:val="-1"/>
        </w:rPr>
        <w:t>next</w:t>
      </w:r>
      <w:r>
        <w:rPr>
          <w:spacing w:val="-10"/>
        </w:rPr>
        <w:t> </w:t>
      </w:r>
      <w:r>
        <w:rPr>
          <w:spacing w:val="-1"/>
        </w:rPr>
        <w:t>studies</w:t>
      </w:r>
      <w:r>
        <w:rPr>
          <w:spacing w:val="-9"/>
        </w:rPr>
        <w:t> </w:t>
      </w:r>
      <w:r>
        <w:rPr>
          <w:spacing w:val="-1"/>
        </w:rPr>
        <w:t>examined</w:t>
      </w:r>
      <w:r>
        <w:rPr>
          <w:spacing w:val="-10"/>
        </w:rPr>
        <w:t> </w:t>
      </w:r>
      <w:r>
        <w:rPr/>
        <w:t>the</w:t>
      </w:r>
      <w:r>
        <w:rPr>
          <w:spacing w:val="-11"/>
        </w:rPr>
        <w:t> </w:t>
      </w:r>
      <w:r>
        <w:rPr/>
        <w:t>effects</w:t>
      </w:r>
      <w:r>
        <w:rPr>
          <w:spacing w:val="-9"/>
        </w:rPr>
        <w:t> </w:t>
      </w:r>
      <w:r>
        <w:rPr/>
        <w:t>of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PAFR</w:t>
      </w:r>
      <w:r>
        <w:rPr>
          <w:spacing w:val="-8"/>
        </w:rPr>
        <w:t> </w:t>
      </w:r>
      <w:r>
        <w:rPr/>
        <w:t>and</w:t>
      </w:r>
      <w:r>
        <w:rPr>
          <w:spacing w:val="-10"/>
        </w:rPr>
        <w:t> </w:t>
      </w:r>
      <w:r>
        <w:rPr/>
        <w:t>miR-149-5p</w:t>
      </w:r>
      <w:r>
        <w:rPr>
          <w:spacing w:val="-10"/>
        </w:rPr>
        <w:t> </w:t>
      </w:r>
      <w:r>
        <w:rPr/>
        <w:t>on</w:t>
      </w:r>
      <w:r>
        <w:rPr>
          <w:spacing w:val="-9"/>
        </w:rPr>
        <w:t> </w:t>
      </w:r>
      <w:r>
        <w:rPr/>
        <w:t>targeted</w:t>
      </w:r>
      <w:r>
        <w:rPr>
          <w:spacing w:val="-10"/>
        </w:rPr>
        <w:t> </w:t>
      </w:r>
      <w:r>
        <w:rPr/>
        <w:t>therapy</w:t>
      </w:r>
      <w:r>
        <w:rPr>
          <w:spacing w:val="-15"/>
        </w:rPr>
        <w:t> </w:t>
      </w:r>
      <w:r>
        <w:rPr/>
        <w:t>(i.e.,</w:t>
      </w:r>
      <w:r>
        <w:rPr>
          <w:spacing w:val="-57"/>
        </w:rPr>
        <w:t> </w:t>
      </w:r>
      <w:r>
        <w:rPr/>
        <w:t>erlotinib and gefitinib) responses. We found that both these therapies inhibit the survival of A549</w:t>
      </w:r>
      <w:r>
        <w:rPr>
          <w:spacing w:val="-57"/>
        </w:rPr>
        <w:t> </w:t>
      </w:r>
      <w:r>
        <w:rPr/>
        <w:t>and H1299 cell lines in a dose- and time-dependent manner. Importantly, activation of the PAFR</w:t>
      </w:r>
      <w:r>
        <w:rPr>
          <w:spacing w:val="1"/>
        </w:rPr>
        <w:t> </w:t>
      </w:r>
      <w:r>
        <w:rPr/>
        <w:t>significantly blocked this effect. These findings indicate that miR-149-5p blocks PAFR-mediated</w:t>
      </w:r>
      <w:r>
        <w:rPr>
          <w:spacing w:val="-57"/>
        </w:rPr>
        <w:t> </w:t>
      </w:r>
      <w:r>
        <w:rPr/>
        <w:t>increased cell proliferation and that PAFR activation attenuates the cytotoxic effects of targeted</w:t>
      </w:r>
      <w:r>
        <w:rPr>
          <w:spacing w:val="1"/>
        </w:rPr>
        <w:t> </w:t>
      </w:r>
      <w:r>
        <w:rPr/>
        <w:t>therapy.</w:t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120" w:right="118"/>
      <w:jc w:val="both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Sahu, Ravi P</dc:creator>
  <dcterms:created xsi:type="dcterms:W3CDTF">2022-07-14T07:26:20Z</dcterms:created>
  <dcterms:modified xsi:type="dcterms:W3CDTF">2022-07-14T07:26:20Z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2022-07-14T00:00:00Z</vt:filetime>
  </property>
</Properties>
</file>