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document.main+xml" PartName="/word/document.xml"/>
  <Override ContentType="application/vnd.openxmlformats-officedocument.wordprocessingml.footer+xml" PartName="/word/footer1.xml"/>
</Types>
</file>

<file path=_rels/.rels><?xml version="1.0" encoding="UTF-8" standalone="yes"?>
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

</file>

<file path=word/document.xml><?xml version="1.0" encoding="utf-8"?>
<w:document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 xml:space="preserve">
  <w:body>
    <w:p>
      <w:pPr>
        <w:rPr>
          <w:sz w:val="17"/>
          <w:szCs w:val="17"/>
        </w:rPr>
        <w:jc w:val="left"/>
        <w:spacing w:before="1" w:line="160" w:lineRule="exact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rFonts w:ascii="Times New Roman" w:cs="Times New Roman" w:eastAsia="Times New Roman" w:hAnsi="Times New Roman"/>
          <w:sz w:val="24"/>
          <w:szCs w:val="24"/>
        </w:rPr>
        <w:jc w:val="left"/>
        <w:spacing w:before="50" w:line="260" w:lineRule="exact"/>
        <w:ind w:firstLine="351" w:left="378" w:right="356"/>
      </w:pPr>
      <w:r>
        <w:rPr>
          <w:rFonts w:ascii="Times New Roman" w:cs="Times New Roman" w:eastAsia="Times New Roman" w:hAnsi="Times New Roman"/>
          <w:w w:val="99"/>
          <w:sz w:val="24"/>
          <w:szCs w:val="24"/>
        </w:rPr>
        <w:t>8</w:t>
      </w:r>
      <w:r>
        <w:rPr>
          <w:rFonts w:ascii="Times New Roman" w:cs="Times New Roman" w:eastAsia="Times New Roman" w:hAnsi="Times New Roman"/>
          <w:w w:val="99"/>
          <w:position w:val="9"/>
          <w:sz w:val="16"/>
          <w:szCs w:val="16"/>
        </w:rPr>
        <w:t>th</w:t>
      </w:r>
      <w:r>
        <w:rPr>
          <w:rFonts w:ascii="Times New Roman" w:cs="Times New Roman" w:eastAsia="Times New Roman" w:hAnsi="Times New Roman"/>
          <w:w w:val="100"/>
          <w:position w:val="9"/>
          <w:sz w:val="16"/>
          <w:szCs w:val="16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4"/>
          <w:szCs w:val="24"/>
        </w:rPr>
        <w:t>International</w:t>
      </w:r>
      <w:r>
        <w:rPr>
          <w:rFonts w:ascii="Times New Roman" w:cs="Times New Roman" w:eastAsia="Times New Roman" w:hAnsi="Times New Roman"/>
          <w:w w:val="100"/>
          <w:position w:val="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4"/>
          <w:szCs w:val="24"/>
        </w:rPr>
        <w:t>Conference</w:t>
      </w:r>
      <w:r>
        <w:rPr>
          <w:rFonts w:ascii="Times New Roman" w:cs="Times New Roman" w:eastAsia="Times New Roman" w:hAnsi="Times New Roman"/>
          <w:w w:val="100"/>
          <w:position w:val="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4"/>
          <w:szCs w:val="24"/>
        </w:rPr>
        <w:t>on</w:t>
      </w:r>
      <w:r>
        <w:rPr>
          <w:rFonts w:ascii="Times New Roman" w:cs="Times New Roman" w:eastAsia="Times New Roman" w:hAnsi="Times New Roman"/>
          <w:w w:val="100"/>
          <w:position w:val="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4"/>
          <w:szCs w:val="24"/>
        </w:rPr>
        <w:t>Physical</w:t>
      </w:r>
      <w:r>
        <w:rPr>
          <w:rFonts w:ascii="Times New Roman" w:cs="Times New Roman" w:eastAsia="Times New Roman" w:hAnsi="Times New Roman"/>
          <w:w w:val="100"/>
          <w:position w:val="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w w:val="100"/>
          <w:position w:val="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4"/>
          <w:szCs w:val="24"/>
        </w:rPr>
        <w:t>Theoretical</w:t>
      </w:r>
      <w:r>
        <w:rPr>
          <w:rFonts w:ascii="Times New Roman" w:cs="Times New Roman" w:eastAsia="Times New Roman" w:hAnsi="Times New Roman"/>
          <w:w w:val="100"/>
          <w:position w:val="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4"/>
          <w:szCs w:val="24"/>
        </w:rPr>
        <w:t>Chem-</w:t>
      </w:r>
      <w:r>
        <w:rPr>
          <w:rFonts w:ascii="Times New Roman" w:cs="Times New Roman" w:eastAsia="Times New Roman" w:hAnsi="Times New Roman"/>
          <w:w w:val="99"/>
          <w:position w:val="0"/>
          <w:sz w:val="24"/>
          <w:szCs w:val="24"/>
        </w:rPr>
        <w:t> istry</w:t>
      </w:r>
      <w:r>
        <w:rPr>
          <w:rFonts w:ascii="Times New Roman" w:cs="Times New Roman" w:eastAsia="Times New Roman" w:hAnsi="Times New Roman"/>
          <w:w w:val="100"/>
          <w:position w:val="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4"/>
          <w:szCs w:val="24"/>
        </w:rPr>
        <w:t>September</w:t>
      </w:r>
      <w:r>
        <w:rPr>
          <w:rFonts w:ascii="Times New Roman" w:cs="Times New Roman" w:eastAsia="Times New Roman" w:hAnsi="Times New Roman"/>
          <w:w w:val="100"/>
          <w:position w:val="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4"/>
          <w:szCs w:val="24"/>
        </w:rPr>
        <w:t>19-20,</w:t>
      </w:r>
      <w:r>
        <w:rPr>
          <w:rFonts w:ascii="Times New Roman" w:cs="Times New Roman" w:eastAsia="Times New Roman" w:hAnsi="Times New Roman"/>
          <w:w w:val="100"/>
          <w:position w:val="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4"/>
          <w:szCs w:val="24"/>
        </w:rPr>
        <w:t>2022</w:t>
      </w:r>
      <w:r>
        <w:rPr>
          <w:rFonts w:ascii="Times New Roman" w:cs="Times New Roman" w:eastAsia="Times New Roman" w:hAnsi="Times New Roman"/>
          <w:w w:val="100"/>
          <w:position w:val="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4"/>
          <w:szCs w:val="24"/>
        </w:rPr>
        <w:t>Paris,</w:t>
      </w:r>
      <w:r>
        <w:rPr>
          <w:rFonts w:ascii="Times New Roman" w:cs="Times New Roman" w:eastAsia="Times New Roman" w:hAnsi="Times New Roman"/>
          <w:w w:val="100"/>
          <w:position w:val="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4"/>
          <w:szCs w:val="24"/>
        </w:rPr>
        <w:t>France</w:t>
      </w:r>
      <w:r>
        <w:rPr>
          <w:rFonts w:ascii="Times New Roman" w:cs="Times New Roman" w:eastAsia="Times New Roman" w:hAnsi="Times New Roman"/>
          <w:w w:val="100"/>
          <w:position w:val="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2" w:line="260" w:lineRule="exact"/>
      </w:pPr>
      <w:r>
        <w:rPr>
          <w:sz w:val="26"/>
          <w:szCs w:val="26"/>
        </w:rPr>
      </w:r>
    </w:p>
    <w:p>
      <w:pPr>
        <w:rPr>
          <w:rFonts w:ascii="Times New Roman" w:cs="Times New Roman" w:eastAsia="Times New Roman" w:hAnsi="Times New Roman"/>
          <w:sz w:val="24"/>
          <w:szCs w:val="24"/>
        </w:rPr>
        <w:jc w:val="left"/>
        <w:spacing w:line="260" w:lineRule="exact"/>
        <w:ind w:left="378" w:right="262"/>
      </w:pPr>
      <w:r>
        <w:rPr>
          <w:rFonts w:ascii="Times New Roman" w:cs="Times New Roman" w:eastAsia="Times New Roman" w:hAnsi="Times New Roman"/>
          <w:w w:val="99"/>
          <w:sz w:val="24"/>
          <w:szCs w:val="24"/>
        </w:rPr>
      </w:r>
      <w:r>
        <w:rPr>
          <w:rFonts w:ascii="Times New Roman" w:cs="Times New Roman" w:eastAsia="Times New Roman" w:hAnsi="Times New Roman"/>
          <w:w w:val="99"/>
          <w:sz w:val="24"/>
          <w:szCs w:val="24"/>
          <w:u w:color="000000" w:val="single"/>
        </w:rPr>
        <w:t>Title</w:t>
      </w:r>
      <w:r>
        <w:rPr>
          <w:rFonts w:ascii="Times New Roman" w:cs="Times New Roman" w:eastAsia="Times New Roman" w:hAnsi="Times New Roman"/>
          <w:w w:val="99"/>
          <w:sz w:val="24"/>
          <w:szCs w:val="24"/>
          <w:u w:color="000000" w:val="single"/>
        </w:rPr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: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”Mathematical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Model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Analysis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on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Impact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Aware-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ness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Campaign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Asymptomatic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Human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Immigrants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Trans-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mission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Covid-19”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Volume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2022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Article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6260262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</w:r>
    </w:p>
    <w:p>
      <w:pPr>
        <w:rPr>
          <w:rFonts w:ascii="Times New Roman" w:cs="Times New Roman" w:eastAsia="Times New Roman" w:hAnsi="Times New Roman"/>
          <w:sz w:val="24"/>
          <w:szCs w:val="24"/>
        </w:rPr>
        <w:jc w:val="left"/>
        <w:spacing w:line="260" w:lineRule="exact"/>
        <w:ind w:left="378"/>
      </w:pPr>
      <w:r>
        <w:rPr>
          <w:rFonts w:ascii="Times New Roman" w:cs="Times New Roman" w:eastAsia="Times New Roman" w:hAnsi="Times New Roman"/>
          <w:w w:val="99"/>
          <w:sz w:val="24"/>
          <w:szCs w:val="24"/>
        </w:rPr>
        <w:t>Alemzewde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Ayalew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Anteneh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</w:r>
    </w:p>
    <w:p>
      <w:pPr>
        <w:rPr>
          <w:rFonts w:ascii="Times New Roman" w:cs="Times New Roman" w:eastAsia="Times New Roman" w:hAnsi="Times New Roman"/>
          <w:sz w:val="24"/>
          <w:szCs w:val="24"/>
        </w:rPr>
        <w:jc w:val="left"/>
        <w:spacing w:line="260" w:lineRule="exact"/>
        <w:ind w:left="378"/>
      </w:pPr>
      <w:r>
        <w:rPr>
          <w:rFonts w:ascii="Times New Roman" w:cs="Times New Roman" w:eastAsia="Times New Roman" w:hAnsi="Times New Roman"/>
          <w:w w:val="99"/>
          <w:sz w:val="24"/>
          <w:szCs w:val="24"/>
        </w:rPr>
        <w:t>Hawass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University,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Ethiopia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2" w:line="140" w:lineRule="exact"/>
      </w:pPr>
      <w:r>
        <w:rPr>
          <w:sz w:val="15"/>
          <w:szCs w:val="15"/>
        </w:rPr>
      </w:r>
    </w:p>
    <w:p>
      <w:pPr>
        <w:rPr>
          <w:rFonts w:ascii="Times New Roman" w:cs="Times New Roman" w:eastAsia="Times New Roman" w:hAnsi="Times New Roman"/>
          <w:sz w:val="22"/>
          <w:szCs w:val="22"/>
        </w:rPr>
        <w:jc w:val="center"/>
        <w:spacing w:before="18"/>
        <w:ind w:left="3747" w:right="3767"/>
      </w:pPr>
      <w:r>
        <w:rPr>
          <w:rFonts w:ascii="Times New Roman" w:cs="Times New Roman" w:eastAsia="Times New Roman" w:hAnsi="Times New Roman"/>
          <w:w w:val="99"/>
          <w:sz w:val="22"/>
          <w:szCs w:val="22"/>
        </w:rPr>
        <w:t>Abstract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</w:r>
    </w:p>
    <w:p>
      <w:pPr>
        <w:rPr>
          <w:rFonts w:ascii="Times New Roman" w:cs="Times New Roman" w:eastAsia="Times New Roman" w:hAnsi="Times New Roman"/>
          <w:sz w:val="22"/>
          <w:szCs w:val="22"/>
        </w:rPr>
        <w:jc w:val="left"/>
        <w:spacing w:before="82" w:line="257" w:lineRule="auto"/>
        <w:ind w:firstLine="327" w:left="963" w:right="945"/>
      </w:pPr>
      <w:r>
        <w:rPr>
          <w:rFonts w:ascii="Times New Roman" w:cs="Times New Roman" w:eastAsia="Times New Roman" w:hAnsi="Times New Roman"/>
          <w:w w:val="99"/>
          <w:sz w:val="22"/>
          <w:szCs w:val="22"/>
        </w:rPr>
        <w:t>In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this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study,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an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autonomous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type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deterministic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nonlinear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math-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 ematical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model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that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explains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transmission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dynamics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of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COVID-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</w:r>
    </w:p>
    <w:p>
      <w:pPr>
        <w:rPr>
          <w:rFonts w:ascii="Times New Roman" w:cs="Times New Roman" w:eastAsia="Times New Roman" w:hAnsi="Times New Roman"/>
          <w:sz w:val="22"/>
          <w:szCs w:val="22"/>
        </w:rPr>
        <w:jc w:val="both"/>
        <w:spacing w:line="257" w:lineRule="auto"/>
        <w:ind w:left="963" w:right="945"/>
      </w:pPr>
      <w:r>
        <w:rPr>
          <w:rFonts w:ascii="Times New Roman" w:cs="Times New Roman" w:eastAsia="Times New Roman" w:hAnsi="Times New Roman"/>
          <w:w w:val="99"/>
          <w:sz w:val="22"/>
          <w:szCs w:val="22"/>
        </w:rPr>
        <w:t>19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is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proposed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analyzed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by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considering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awareness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campaign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be-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 tween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humans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infectives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of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COVID-19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asymptomatic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human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im-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 migrants.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Unlike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some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of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other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previous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model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studies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about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this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dis-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 ease,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we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have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taken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into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account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impact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of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awareness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campaign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 between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humans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infectives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of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COVID-19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asymptomatic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human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 immigrants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on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COVID-19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transmission.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existence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unique-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 ness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of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model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solutions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are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proved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using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fundamental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existence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 and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uniqueness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theorem.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</w:r>
    </w:p>
    <w:p>
      <w:pPr>
        <w:rPr>
          <w:rFonts w:ascii="Times New Roman" w:cs="Times New Roman" w:eastAsia="Times New Roman" w:hAnsi="Times New Roman"/>
          <w:sz w:val="22"/>
          <w:szCs w:val="22"/>
        </w:rPr>
        <w:jc w:val="both"/>
        <w:spacing w:line="255" w:lineRule="auto"/>
        <w:ind w:left="963" w:right="942"/>
      </w:pPr>
      <w:r>
        <w:rPr>
          <w:rFonts w:ascii="Times New Roman" w:cs="Times New Roman" w:eastAsia="Times New Roman" w:hAnsi="Times New Roman"/>
          <w:w w:val="99"/>
          <w:sz w:val="22"/>
          <w:szCs w:val="22"/>
        </w:rPr>
        <w:t>We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also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showed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positivity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invariant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region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of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model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sys-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 tem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with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initial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conditions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in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a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certain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meaningful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set.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model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 exhibits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two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equilibria: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disease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(COVID-19)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free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COVID-19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per-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 sistent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equilibrium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points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also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basic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reproduction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number,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R</w:t>
      </w:r>
      <w:r>
        <w:rPr>
          <w:rFonts w:ascii="Times New Roman" w:cs="Times New Roman" w:eastAsia="Times New Roman" w:hAnsi="Times New Roman"/>
          <w:w w:val="99"/>
          <w:position w:val="-3"/>
          <w:sz w:val="16"/>
          <w:szCs w:val="16"/>
        </w:rPr>
        <w:t>0</w:t>
      </w:r>
      <w:r>
        <w:rPr>
          <w:rFonts w:ascii="Times New Roman" w:cs="Times New Roman" w:eastAsia="Times New Roman" w:hAnsi="Times New Roman"/>
          <w:w w:val="99"/>
          <w:position w:val="-3"/>
          <w:sz w:val="16"/>
          <w:szCs w:val="16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which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is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derived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via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help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of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next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generation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approach.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Our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ana-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 lytical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analysis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showed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that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disease-free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equilibrium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point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is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obtained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 only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in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absence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of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asymptomatic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COVID-19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human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immigrants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 and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disease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(COVID-19)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in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population.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Moreover,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local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stabil-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 ity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of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disease-free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equilibrium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point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is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verified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via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help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of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Jacobian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 and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Hurwitz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criteria,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global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stability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is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verified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using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Castillo-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 Chavez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Song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approach.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</w:r>
    </w:p>
    <w:p>
      <w:pPr>
        <w:rPr>
          <w:rFonts w:ascii="Times New Roman" w:cs="Times New Roman" w:eastAsia="Times New Roman" w:hAnsi="Times New Roman"/>
          <w:sz w:val="22"/>
          <w:szCs w:val="22"/>
        </w:rPr>
        <w:jc w:val="both"/>
        <w:spacing w:before="2" w:line="251" w:lineRule="auto"/>
        <w:ind w:left="963" w:right="942"/>
      </w:pPr>
      <w:r>
        <w:rPr>
          <w:rFonts w:ascii="Times New Roman" w:cs="Times New Roman" w:eastAsia="Times New Roman" w:hAnsi="Times New Roman"/>
          <w:w w:val="99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disease-free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equilibrium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point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is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both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locally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globally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asymp-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 totically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stable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whenever</w:t>
      </w:r>
      <w:r>
        <w:rPr>
          <w:rFonts w:ascii="Times New Roman" w:cs="Times New Roman" w:eastAsia="Times New Roman" w:hAnsi="Times New Roman"/>
          <w:w w:val="10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sz w:val="22"/>
          <w:szCs w:val="22"/>
        </w:rPr>
        <w:t>R</w:t>
      </w:r>
      <w:r>
        <w:rPr>
          <w:rFonts w:ascii="Times New Roman" w:cs="Times New Roman" w:eastAsia="Times New Roman" w:hAnsi="Times New Roman"/>
          <w:w w:val="99"/>
          <w:position w:val="-3"/>
          <w:sz w:val="16"/>
          <w:szCs w:val="16"/>
        </w:rPr>
        <w:t>0</w:t>
      </w:r>
      <w:r>
        <w:rPr>
          <w:rFonts w:ascii="Times New Roman" w:cs="Times New Roman" w:eastAsia="Times New Roman" w:hAnsi="Times New Roman"/>
          <w:w w:val="100"/>
          <w:position w:val="-3"/>
          <w:sz w:val="16"/>
          <w:szCs w:val="16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&lt;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1,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so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that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disease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dies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out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in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popu-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 lation.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If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R</w:t>
      </w:r>
      <w:r>
        <w:rPr>
          <w:rFonts w:ascii="Times New Roman" w:cs="Times New Roman" w:eastAsia="Times New Roman" w:hAnsi="Times New Roman"/>
          <w:w w:val="99"/>
          <w:position w:val="-3"/>
          <w:sz w:val="16"/>
          <w:szCs w:val="16"/>
        </w:rPr>
        <w:t>0</w:t>
      </w:r>
      <w:r>
        <w:rPr>
          <w:rFonts w:ascii="Times New Roman" w:cs="Times New Roman" w:eastAsia="Times New Roman" w:hAnsi="Times New Roman"/>
          <w:w w:val="100"/>
          <w:position w:val="-3"/>
          <w:sz w:val="16"/>
          <w:szCs w:val="16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&gt;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1,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then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disease-free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equilibrium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point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is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unstable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while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 the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endemic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equilibrium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point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exists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stable,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which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implies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 disease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persist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reinvasion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will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occur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within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a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population.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Further-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 more,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sensitivity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analysis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of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basic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reproduction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number,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R</w:t>
      </w:r>
      <w:r>
        <w:rPr>
          <w:rFonts w:ascii="Times New Roman" w:cs="Times New Roman" w:eastAsia="Times New Roman" w:hAnsi="Times New Roman"/>
          <w:w w:val="99"/>
          <w:position w:val="-3"/>
          <w:sz w:val="16"/>
          <w:szCs w:val="16"/>
        </w:rPr>
        <w:t>0</w:t>
      </w:r>
      <w:r>
        <w:rPr>
          <w:rFonts w:ascii="Times New Roman" w:cs="Times New Roman" w:eastAsia="Times New Roman" w:hAnsi="Times New Roman"/>
          <w:w w:val="100"/>
          <w:position w:val="-3"/>
          <w:sz w:val="16"/>
          <w:szCs w:val="16"/>
        </w:rPr>
        <w:t> 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with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 respect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to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model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parameters,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is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computed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to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identify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most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influen-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 tial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parameters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in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transmission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as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well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as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in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control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of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COVID-19.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 Finally,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some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numerical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simulations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are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illustrated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to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verify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theo-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 retical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results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of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  <w:t> </w:t>
      </w:r>
      <w:r>
        <w:rPr>
          <w:rFonts w:ascii="Times New Roman" w:cs="Times New Roman" w:eastAsia="Times New Roman" w:hAnsi="Times New Roman"/>
          <w:w w:val="99"/>
          <w:position w:val="0"/>
          <w:sz w:val="22"/>
          <w:szCs w:val="22"/>
        </w:rPr>
        <w:t>model.</w:t>
      </w:r>
      <w:r>
        <w:rPr>
          <w:rFonts w:ascii="Times New Roman" w:cs="Times New Roman" w:eastAsia="Times New Roman" w:hAnsi="Times New Roman"/>
          <w:w w:val="100"/>
          <w:position w:val="0"/>
          <w:sz w:val="22"/>
          <w:szCs w:val="22"/>
        </w:rPr>
      </w:r>
    </w:p>
    <w:p>
      <w:pPr>
        <w:rPr>
          <w:sz w:val="19"/>
          <w:szCs w:val="19"/>
        </w:rPr>
        <w:jc w:val="left"/>
        <w:spacing w:before="5" w:line="180" w:lineRule="exact"/>
      </w:pPr>
      <w:r>
        <w:rPr>
          <w:sz w:val="19"/>
          <w:szCs w:val="19"/>
        </w:rPr>
      </w:r>
    </w:p>
    <w:p>
      <w:pPr>
        <w:rPr>
          <w:rFonts w:ascii="Times New Roman" w:cs="Times New Roman" w:eastAsia="Times New Roman" w:hAnsi="Times New Roman"/>
          <w:sz w:val="24"/>
          <w:szCs w:val="24"/>
        </w:rPr>
        <w:jc w:val="left"/>
        <w:ind w:left="378"/>
      </w:pPr>
      <w:r>
        <w:rPr>
          <w:rFonts w:ascii="Times New Roman" w:cs="Times New Roman" w:eastAsia="Times New Roman" w:hAnsi="Times New Roman"/>
          <w:w w:val="99"/>
          <w:sz w:val="24"/>
          <w:szCs w:val="24"/>
        </w:rPr>
        <w:t>Bibilography: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</w:r>
    </w:p>
    <w:p>
      <w:pPr>
        <w:rPr>
          <w:rFonts w:ascii="Times New Roman" w:cs="Times New Roman" w:eastAsia="Times New Roman" w:hAnsi="Times New Roman"/>
          <w:sz w:val="24"/>
          <w:szCs w:val="24"/>
        </w:rPr>
        <w:jc w:val="center"/>
        <w:spacing w:before="13"/>
        <w:ind w:left="340" w:right="315"/>
        <w:sectPr>
          <w:pgNumType w:start="1"/>
          <w:pgMar w:bottom="280" w:footer="1848" w:left="1680" w:right="1680" w:top="1560"/>
          <w:footerReference r:id="rId4" w:type="default"/>
          <w:type w:val="continuous"/>
          <w:pgSz w:h="16840" w:w="11920"/>
        </w:sectPr>
      </w:pPr>
      <w:r>
        <w:rPr>
          <w:rFonts w:ascii="Times New Roman" w:cs="Times New Roman" w:eastAsia="Times New Roman" w:hAnsi="Times New Roman"/>
          <w:w w:val="99"/>
          <w:sz w:val="24"/>
          <w:szCs w:val="24"/>
        </w:rPr>
        <w:t>I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have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completed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my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postgraduation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at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age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27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years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August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2019G.C,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</w:r>
    </w:p>
    <w:p>
      <w:pPr>
        <w:rPr>
          <w:sz w:val="19"/>
          <w:szCs w:val="19"/>
        </w:rPr>
        <w:jc w:val="left"/>
        <w:spacing w:before="8" w:line="180" w:lineRule="exact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rFonts w:ascii="Times New Roman" w:cs="Times New Roman" w:eastAsia="Times New Roman" w:hAnsi="Times New Roman"/>
          <w:sz w:val="24"/>
          <w:szCs w:val="24"/>
        </w:rPr>
        <w:jc w:val="both"/>
        <w:spacing w:before="15" w:line="251" w:lineRule="auto"/>
        <w:ind w:left="378" w:right="356"/>
      </w:pPr>
      <w:r>
        <w:rPr>
          <w:rFonts w:ascii="Times New Roman" w:cs="Times New Roman" w:eastAsia="Times New Roman" w:hAnsi="Times New Roman"/>
          <w:w w:val="99"/>
          <w:sz w:val="24"/>
          <w:szCs w:val="24"/>
        </w:rPr>
        <w:t>Arba-Minch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University,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Ethiopia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bachelor’s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degree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from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Mekelle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univer-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sity,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Ethiopia.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have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published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1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paper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BioMed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Research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International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(Hindawi)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journal.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Now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am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lecturer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with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educational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level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Masters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(Msc)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and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working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Hawassa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University,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Ethiopia.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</w:r>
    </w:p>
    <w:p>
      <w:pPr>
        <w:rPr>
          <w:rFonts w:ascii="Times New Roman" w:cs="Times New Roman" w:eastAsia="Times New Roman" w:hAnsi="Times New Roman"/>
          <w:sz w:val="24"/>
          <w:szCs w:val="24"/>
        </w:rPr>
        <w:jc w:val="both"/>
        <w:ind w:left="378" w:right="4862"/>
      </w:pPr>
      <w:r>
        <w:rPr>
          <w:rFonts w:ascii="Times New Roman" w:cs="Times New Roman" w:eastAsia="Times New Roman" w:hAnsi="Times New Roman"/>
          <w:w w:val="99"/>
          <w:sz w:val="24"/>
          <w:szCs w:val="24"/>
        </w:rPr>
        <w:t>•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About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Hawassa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University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</w:r>
    </w:p>
    <w:p>
      <w:pPr>
        <w:rPr>
          <w:rFonts w:ascii="Times New Roman" w:cs="Times New Roman" w:eastAsia="Times New Roman" w:hAnsi="Times New Roman"/>
          <w:sz w:val="24"/>
          <w:szCs w:val="24"/>
        </w:rPr>
        <w:jc w:val="left"/>
        <w:spacing w:before="13" w:line="251" w:lineRule="auto"/>
        <w:ind w:left="378" w:right="227"/>
      </w:pPr>
      <w:r>
        <w:rPr>
          <w:rFonts w:ascii="Times New Roman" w:cs="Times New Roman" w:eastAsia="Times New Roman" w:hAnsi="Times New Roman"/>
          <w:w w:val="99"/>
          <w:sz w:val="24"/>
          <w:szCs w:val="24"/>
        </w:rPr>
        <w:t>Hawassa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University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(HU)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found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Hawassa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City,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Southern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Region,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Ethiopia.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It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was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established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April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2000.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Since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1976,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different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colleges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HU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started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with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college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Agriculture.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Merging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three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colleges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has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formed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University: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Awassa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College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Agriculture,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Wondogenet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College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Forestry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and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Dilla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College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Teacher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Education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Health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Sciences.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9" w:line="280" w:lineRule="exact"/>
      </w:pPr>
      <w:r>
        <w:rPr>
          <w:sz w:val="28"/>
          <w:szCs w:val="28"/>
        </w:rPr>
      </w:r>
    </w:p>
    <w:p>
      <w:pPr>
        <w:rPr>
          <w:rFonts w:ascii="Times New Roman" w:cs="Times New Roman" w:eastAsia="Times New Roman" w:hAnsi="Times New Roman"/>
          <w:sz w:val="24"/>
          <w:szCs w:val="24"/>
        </w:rPr>
        <w:jc w:val="both"/>
        <w:spacing w:line="251" w:lineRule="auto"/>
        <w:ind w:left="378" w:right="356"/>
      </w:pPr>
      <w:r>
        <w:rPr>
          <w:rFonts w:ascii="Times New Roman" w:cs="Times New Roman" w:eastAsia="Times New Roman" w:hAnsi="Times New Roman"/>
          <w:w w:val="99"/>
          <w:sz w:val="24"/>
          <w:szCs w:val="24"/>
        </w:rPr>
        <w:t>HU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has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seven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campuses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(four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Hawassa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three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outside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Hawassa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–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Wondo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Genet,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Awada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Bensa-Daye),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five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Colleges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one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Institute.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In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addition,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it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has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Comprehensive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Specialized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Hospital.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current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student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population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23,537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(undergraduate)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1919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(post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graduate).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There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are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</w:r>
    </w:p>
    <w:p>
      <w:pPr>
        <w:rPr>
          <w:rFonts w:ascii="Times New Roman" w:cs="Times New Roman" w:eastAsia="Times New Roman" w:hAnsi="Times New Roman"/>
          <w:sz w:val="24"/>
          <w:szCs w:val="24"/>
        </w:rPr>
        <w:jc w:val="both"/>
        <w:spacing w:line="251" w:lineRule="auto"/>
        <w:ind w:left="378" w:right="356"/>
      </w:pPr>
      <w:r>
        <w:rPr>
          <w:rFonts w:ascii="Times New Roman" w:cs="Times New Roman" w:eastAsia="Times New Roman" w:hAnsi="Times New Roman"/>
          <w:w w:val="99"/>
          <w:sz w:val="24"/>
          <w:szCs w:val="24"/>
        </w:rPr>
        <w:t>75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undergraduate,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80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Masters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seven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PhD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programmes.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number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academic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staffs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1325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(on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duty)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319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(on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study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leave).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9" w:line="280" w:lineRule="exact"/>
      </w:pPr>
      <w:r>
        <w:rPr>
          <w:sz w:val="28"/>
          <w:szCs w:val="28"/>
        </w:rPr>
      </w:r>
    </w:p>
    <w:p>
      <w:pPr>
        <w:rPr>
          <w:rFonts w:ascii="Times New Roman" w:cs="Times New Roman" w:eastAsia="Times New Roman" w:hAnsi="Times New Roman"/>
          <w:sz w:val="24"/>
          <w:szCs w:val="24"/>
        </w:rPr>
        <w:jc w:val="both"/>
        <w:spacing w:line="251" w:lineRule="auto"/>
        <w:ind w:left="378" w:right="356"/>
      </w:pPr>
      <w:r>
        <w:rPr>
          <w:rFonts w:ascii="Times New Roman" w:cs="Times New Roman" w:eastAsia="Times New Roman" w:hAnsi="Times New Roman"/>
          <w:w w:val="99"/>
          <w:sz w:val="24"/>
          <w:szCs w:val="24"/>
        </w:rPr>
        <w:t>HU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established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seven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technology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villages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(field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sites).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These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have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been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estab-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lished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to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extend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outreach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services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to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community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are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meant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for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centre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of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technology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transfer,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field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trials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also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to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disseminate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applied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research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results.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locations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field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sites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include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Dale,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Borecha,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Hawassa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Zuria,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Hawassa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City,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Hula,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Wondogenet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Ziway.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By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now,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Hawassa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University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is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one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research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center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among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8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universities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from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total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45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universities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selected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research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center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by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Ethiopia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Minister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Education.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</w:r>
    </w:p>
    <w:p>
      <w:pPr>
        <w:rPr>
          <w:sz w:val="17"/>
          <w:szCs w:val="17"/>
        </w:rPr>
        <w:jc w:val="left"/>
        <w:spacing w:before="8" w:line="160" w:lineRule="exact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rFonts w:ascii="Times New Roman" w:cs="Times New Roman" w:eastAsia="Times New Roman" w:hAnsi="Times New Roman"/>
          <w:sz w:val="24"/>
          <w:szCs w:val="24"/>
        </w:rPr>
        <w:jc w:val="left"/>
        <w:ind w:left="729"/>
      </w:pPr>
      <w:r>
        <w:rPr>
          <w:rFonts w:ascii="Times New Roman" w:cs="Times New Roman" w:eastAsia="Times New Roman" w:hAnsi="Times New Roman"/>
          <w:w w:val="99"/>
          <w:sz w:val="24"/>
          <w:szCs w:val="24"/>
        </w:rPr>
        <w:t>For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more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information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visit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http://www.hu.edu.et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9" w:line="220" w:lineRule="exact"/>
      </w:pPr>
      <w:r>
        <w:rPr>
          <w:sz w:val="22"/>
          <w:szCs w:val="22"/>
        </w:rPr>
      </w:r>
    </w:p>
    <w:p>
      <w:pPr>
        <w:rPr>
          <w:rFonts w:ascii="Times New Roman" w:cs="Times New Roman" w:eastAsia="Times New Roman" w:hAnsi="Times New Roman"/>
          <w:sz w:val="34"/>
          <w:szCs w:val="34"/>
        </w:rPr>
        <w:jc w:val="both"/>
        <w:ind w:left="378" w:right="6305"/>
      </w:pPr>
      <w:r>
        <w:rPr>
          <w:rFonts w:ascii="Times New Roman" w:cs="Times New Roman" w:eastAsia="Times New Roman" w:hAnsi="Times New Roman"/>
          <w:w w:val="101"/>
          <w:sz w:val="34"/>
          <w:szCs w:val="34"/>
        </w:rPr>
        <w:t>References</w:t>
      </w:r>
      <w:r>
        <w:rPr>
          <w:rFonts w:ascii="Times New Roman" w:cs="Times New Roman" w:eastAsia="Times New Roman" w:hAnsi="Times New Roman"/>
          <w:w w:val="100"/>
          <w:sz w:val="34"/>
          <w:szCs w:val="34"/>
        </w:rPr>
      </w:r>
    </w:p>
    <w:p>
      <w:pPr>
        <w:rPr>
          <w:sz w:val="22"/>
          <w:szCs w:val="22"/>
        </w:rPr>
        <w:jc w:val="left"/>
        <w:spacing w:before="8" w:line="220" w:lineRule="exact"/>
      </w:pPr>
      <w:r>
        <w:rPr>
          <w:sz w:val="22"/>
          <w:szCs w:val="22"/>
        </w:rPr>
      </w:r>
    </w:p>
    <w:p>
      <w:pPr>
        <w:rPr>
          <w:rFonts w:ascii="Times New Roman" w:cs="Times New Roman" w:eastAsia="Times New Roman" w:hAnsi="Times New Roman"/>
          <w:sz w:val="24"/>
          <w:szCs w:val="24"/>
        </w:rPr>
        <w:tabs>
          <w:tab w:pos="1660" w:val="left"/>
        </w:tabs>
        <w:jc w:val="both"/>
        <w:spacing w:line="251" w:lineRule="auto"/>
        <w:ind w:hanging="364" w:left="742" w:right="356"/>
      </w:pPr>
      <w:r>
        <w:rPr>
          <w:rFonts w:ascii="Times New Roman" w:cs="Times New Roman" w:eastAsia="Times New Roman" w:hAnsi="Times New Roman"/>
          <w:w w:val="99"/>
          <w:sz w:val="24"/>
          <w:szCs w:val="24"/>
        </w:rPr>
        <w:t>[1]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Alemzewde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Ayalew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Anteneh,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Yezbalem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Molla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Bazezew,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Shanmuga-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sundaram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Palanisamy,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”Mathematical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Model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Analysis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on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Impact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ab/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Awareness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Campaign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Asymptomatic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Human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Im-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migrants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Transmission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COVID-19”,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BioMed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Research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International,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vol.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2022,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Article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ID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6260262,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13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pages,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  <w:t>    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2022.</w:t>
      </w:r>
      <w:r>
        <w:rPr>
          <w:rFonts w:ascii="Times New Roman" w:cs="Times New Roman" w:eastAsia="Times New Roman" w:hAnsi="Times New Roman"/>
          <w:w w:val="99"/>
          <w:sz w:val="24"/>
          <w:szCs w:val="24"/>
        </w:rPr>
        <w:t> https://doi.org/10.1155/2022/6260262.</w:t>
      </w:r>
      <w:r>
        <w:rPr>
          <w:rFonts w:ascii="Times New Roman" w:cs="Times New Roman" w:eastAsia="Times New Roman" w:hAnsi="Times New Roman"/>
          <w:w w:val="100"/>
          <w:sz w:val="24"/>
          <w:szCs w:val="24"/>
        </w:rPr>
      </w:r>
    </w:p>
    <w:sectPr>
      <w:pgMar w:bottom="280" w:footer="1848" w:header="0" w:left="1680" w:right="1680" w:top="1560"/>
      <w:pgSz w:h="16840" w:w="11920"/>
    </w:sectPr>
  </w:body>
</w:document>
</file>

<file path=word/footer1.xml><?xml version="1.0" encoding="utf-8"?>
<w:ftr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 xml:space="preserve">
  <w:p>
    <w:pPr>
      <w:rPr>
        <w:sz w:val="20"/>
        <w:szCs w:val="20"/>
      </w:rPr>
      <w:jc w:val="left"/>
      <w:spacing w:line="200" w:lineRule="exact"/>
    </w:pPr>
    <w:r>
      <w:pict>
        <v:shape filled="f" stroked="f" style="position:absolute;margin-left:292.229pt;margin-top:738.506pt;width:9.85327pt;height:13.9552pt;mso-position-horizontal-relative:page;mso-position-vertical-relative:page;z-index:-68" type="#_x0000_t202">
          <v:textbox inset="0,0,0,0">
            <w:txbxContent>
              <w:p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  <w:jc w:val="left"/>
                  <w:spacing w:line="240" w:lineRule="exact"/>
                  <w:ind w:left="40"/>
                </w:pPr>
                <w:r>
                  <w:rPr>
                    <w:rFonts w:ascii="Times New Roman" w:cs="Times New Roman" w:eastAsia="Times New Roman" w:hAnsi="Times New Roman"/>
                    <w:w w:val="99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ascii="Times New Roman" w:cs="Times New Roman" w:eastAsia="Times New Roman" w:hAnsi="Times New Roman"/>
                    <w:w w:val="99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Times New Roman" w:cs="Times New Roman" w:eastAsia="Times New Roman" w:hAnsi="Times New Roman"/>
                    <w:w w:val="99"/>
                    <w:sz w:val="24"/>
                    <w:szCs w:val="24"/>
                  </w:rPr>
                </w:r>
                <w:r>
                  <w:rPr>
                    <w:rFonts w:ascii="Times New Roman" w:cs="Times New Roman" w:eastAsia="Times New Roman" w:hAnsi="Times New Roman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theme/theme1.xml" Type="http://schemas.openxmlformats.org/officeDocument/2006/relationships/theme"/><Relationship Id="rId4" Target="footer1.xml" Type="http://schemas.openxmlformats.org/officeDocument/2006/relationships/footer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/>
</file>