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98CC4" w14:textId="77777777" w:rsidR="00AE2140" w:rsidRPr="00A502D9" w:rsidRDefault="00AE2140" w:rsidP="00AE2140">
      <w:pPr>
        <w:jc w:val="center"/>
        <w:rPr>
          <w:rFonts w:ascii="Times New Roman" w:hAnsi="Times New Roman" w:cs="Times New Roman"/>
          <w:b/>
          <w:sz w:val="32"/>
          <w:szCs w:val="24"/>
        </w:rPr>
      </w:pPr>
      <w:r w:rsidRPr="00A502D9">
        <w:rPr>
          <w:rFonts w:ascii="Times New Roman" w:hAnsi="Times New Roman" w:cs="Times New Roman"/>
          <w:b/>
          <w:sz w:val="32"/>
          <w:szCs w:val="24"/>
        </w:rPr>
        <w:t>DICLOFENAC A</w:t>
      </w:r>
      <w:r>
        <w:rPr>
          <w:rFonts w:ascii="Times New Roman" w:hAnsi="Times New Roman" w:cs="Times New Roman"/>
          <w:b/>
          <w:sz w:val="32"/>
          <w:szCs w:val="24"/>
        </w:rPr>
        <w:t>DVERSE EFFECT AFTER ITS ORAL AND IV ADMINISTRATION</w:t>
      </w:r>
      <w:r w:rsidRPr="00A502D9">
        <w:rPr>
          <w:rFonts w:ascii="Times New Roman" w:hAnsi="Times New Roman" w:cs="Times New Roman"/>
          <w:b/>
          <w:sz w:val="32"/>
          <w:szCs w:val="24"/>
        </w:rPr>
        <w:t>: CASE SERIES</w:t>
      </w:r>
    </w:p>
    <w:p w14:paraId="23C6FE16" w14:textId="0A3804DA" w:rsidR="00AE3E37" w:rsidRDefault="00AE2140" w:rsidP="00AE2140">
      <w:pPr>
        <w:pStyle w:val="BodyText"/>
        <w:rPr>
          <w:rFonts w:ascii="Arial"/>
          <w:sz w:val="20"/>
          <w:vertAlign w:val="superscript"/>
        </w:rPr>
      </w:pPr>
      <w:proofErr w:type="spellStart"/>
      <w:proofErr w:type="gramStart"/>
      <w:r w:rsidRPr="00AE2140">
        <w:rPr>
          <w:rFonts w:ascii="Arial"/>
          <w:sz w:val="20"/>
        </w:rPr>
        <w:t>Dr.Ann</w:t>
      </w:r>
      <w:proofErr w:type="spellEnd"/>
      <w:proofErr w:type="gramEnd"/>
      <w:r w:rsidRPr="00AE2140">
        <w:rPr>
          <w:rFonts w:ascii="Arial"/>
          <w:sz w:val="20"/>
        </w:rPr>
        <w:t xml:space="preserve"> </w:t>
      </w:r>
      <w:proofErr w:type="spellStart"/>
      <w:r w:rsidRPr="00AE2140">
        <w:rPr>
          <w:rFonts w:ascii="Arial"/>
          <w:sz w:val="20"/>
        </w:rPr>
        <w:t>Vazhayil</w:t>
      </w:r>
      <w:proofErr w:type="spellEnd"/>
      <w:r w:rsidRPr="00AE2140">
        <w:rPr>
          <w:rFonts w:ascii="Arial"/>
          <w:sz w:val="20"/>
        </w:rPr>
        <w:t xml:space="preserve"> </w:t>
      </w:r>
      <w:proofErr w:type="spellStart"/>
      <w:r w:rsidRPr="00AE2140">
        <w:rPr>
          <w:rFonts w:ascii="Arial"/>
          <w:sz w:val="20"/>
        </w:rPr>
        <w:t>Kuruvilla</w:t>
      </w:r>
      <w:r>
        <w:rPr>
          <w:rFonts w:ascii="Arial"/>
          <w:sz w:val="20"/>
        </w:rPr>
        <w:t>,</w:t>
      </w:r>
      <w:r w:rsidRPr="00AE2140">
        <w:rPr>
          <w:rFonts w:ascii="Arial"/>
          <w:sz w:val="20"/>
        </w:rPr>
        <w:t>Clinical</w:t>
      </w:r>
      <w:proofErr w:type="spellEnd"/>
      <w:r w:rsidRPr="00AE2140">
        <w:rPr>
          <w:rFonts w:ascii="Arial"/>
          <w:sz w:val="20"/>
        </w:rPr>
        <w:t xml:space="preserve"> Pharmacist</w:t>
      </w:r>
      <w:r>
        <w:rPr>
          <w:rFonts w:ascii="Arial"/>
          <w:sz w:val="20"/>
        </w:rPr>
        <w:t xml:space="preserve">, </w:t>
      </w:r>
      <w:r w:rsidRPr="00AE2140">
        <w:rPr>
          <w:rFonts w:ascii="Arial"/>
          <w:sz w:val="20"/>
        </w:rPr>
        <w:t>Department of Pharmacy Practice</w:t>
      </w:r>
      <w:r>
        <w:rPr>
          <w:rFonts w:ascii="Arial"/>
          <w:sz w:val="20"/>
        </w:rPr>
        <w:t xml:space="preserve">, </w:t>
      </w:r>
      <w:r w:rsidRPr="00AE2140">
        <w:rPr>
          <w:rFonts w:ascii="Arial"/>
          <w:sz w:val="20"/>
        </w:rPr>
        <w:t>JSS College of Pharmacy/JSS Medical College &amp; Hospital</w:t>
      </w:r>
      <w:r>
        <w:rPr>
          <w:rFonts w:ascii="Arial"/>
          <w:sz w:val="20"/>
        </w:rPr>
        <w:t xml:space="preserve">, </w:t>
      </w:r>
      <w:r w:rsidRPr="00AE2140">
        <w:rPr>
          <w:rFonts w:ascii="Arial"/>
          <w:sz w:val="20"/>
        </w:rPr>
        <w:t>Mysuru</w:t>
      </w:r>
      <w:r>
        <w:rPr>
          <w:rFonts w:ascii="Arial"/>
          <w:sz w:val="20"/>
          <w:vertAlign w:val="superscript"/>
        </w:rPr>
        <w:t>1</w:t>
      </w:r>
    </w:p>
    <w:p w14:paraId="7540C2C5" w14:textId="77777777" w:rsidR="00AE2140" w:rsidRDefault="00AE2140" w:rsidP="00AE2140">
      <w:pPr>
        <w:pStyle w:val="BodyText"/>
        <w:rPr>
          <w:rFonts w:ascii="Arial"/>
          <w:sz w:val="20"/>
          <w:vertAlign w:val="superscript"/>
        </w:rPr>
      </w:pPr>
      <w:r>
        <w:rPr>
          <w:rFonts w:ascii="Arial"/>
          <w:sz w:val="20"/>
        </w:rPr>
        <w:t xml:space="preserve">Dr. Meghana Nadella, Clinical Pharmacist, </w:t>
      </w:r>
      <w:r w:rsidRPr="00AE2140">
        <w:rPr>
          <w:rFonts w:ascii="Arial"/>
          <w:sz w:val="20"/>
        </w:rPr>
        <w:t>Department of Pharmacy Practice</w:t>
      </w:r>
      <w:r>
        <w:rPr>
          <w:rFonts w:ascii="Arial"/>
          <w:sz w:val="20"/>
        </w:rPr>
        <w:t xml:space="preserve">, </w:t>
      </w:r>
      <w:r w:rsidRPr="00AE2140">
        <w:rPr>
          <w:rFonts w:ascii="Arial"/>
          <w:sz w:val="20"/>
        </w:rPr>
        <w:t>JSS College of Pharmacy/JSS Medical College &amp; Hospital</w:t>
      </w:r>
      <w:r>
        <w:rPr>
          <w:rFonts w:ascii="Arial"/>
          <w:sz w:val="20"/>
        </w:rPr>
        <w:t xml:space="preserve">, </w:t>
      </w:r>
      <w:r w:rsidRPr="00AE2140">
        <w:rPr>
          <w:rFonts w:ascii="Arial"/>
          <w:sz w:val="20"/>
        </w:rPr>
        <w:t>Mysuru</w:t>
      </w:r>
      <w:r>
        <w:rPr>
          <w:rFonts w:ascii="Arial"/>
          <w:sz w:val="20"/>
          <w:vertAlign w:val="superscript"/>
        </w:rPr>
        <w:t>1</w:t>
      </w:r>
    </w:p>
    <w:p w14:paraId="240E6949" w14:textId="5A154A29" w:rsidR="00AE3E37" w:rsidRPr="00904968" w:rsidRDefault="00AE2140" w:rsidP="00AE2140">
      <w:pPr>
        <w:pStyle w:val="BodyText"/>
        <w:rPr>
          <w:rFonts w:ascii="Arial"/>
          <w:sz w:val="20"/>
          <w:vertAlign w:val="superscript"/>
        </w:rPr>
        <w:sectPr w:rsidR="00AE3E37" w:rsidRPr="00904968" w:rsidSect="008E5477">
          <w:footerReference w:type="default" r:id="rId7"/>
          <w:type w:val="continuous"/>
          <w:pgSz w:w="11910" w:h="16840"/>
          <w:pgMar w:top="995" w:right="600" w:bottom="840" w:left="620" w:header="0" w:footer="0" w:gutter="0"/>
          <w:cols w:space="720"/>
          <w:docGrid w:linePitch="299"/>
        </w:sectPr>
      </w:pPr>
      <w:r>
        <w:rPr>
          <w:rFonts w:ascii="Arial"/>
          <w:sz w:val="20"/>
        </w:rPr>
        <w:t xml:space="preserve">Dr. </w:t>
      </w:r>
      <w:proofErr w:type="spellStart"/>
      <w:r>
        <w:rPr>
          <w:rFonts w:ascii="Arial"/>
          <w:sz w:val="20"/>
        </w:rPr>
        <w:t>Annet</w:t>
      </w:r>
      <w:proofErr w:type="spellEnd"/>
      <w:r>
        <w:rPr>
          <w:rFonts w:ascii="Arial"/>
          <w:sz w:val="20"/>
        </w:rPr>
        <w:t xml:space="preserve"> </w:t>
      </w:r>
      <w:proofErr w:type="spellStart"/>
      <w:r>
        <w:rPr>
          <w:rFonts w:ascii="Arial"/>
          <w:sz w:val="20"/>
        </w:rPr>
        <w:t>Jodiya</w:t>
      </w:r>
      <w:proofErr w:type="spellEnd"/>
      <w:r>
        <w:rPr>
          <w:rFonts w:ascii="Arial"/>
          <w:sz w:val="20"/>
        </w:rPr>
        <w:t>, Clinical Pharmacist,</w:t>
      </w:r>
      <w:r w:rsidRPr="00AE2140">
        <w:rPr>
          <w:rFonts w:ascii="Arial"/>
          <w:sz w:val="20"/>
        </w:rPr>
        <w:t xml:space="preserve"> </w:t>
      </w:r>
      <w:r w:rsidRPr="00AE2140">
        <w:rPr>
          <w:rFonts w:ascii="Arial"/>
          <w:sz w:val="20"/>
        </w:rPr>
        <w:t>Department of Pharmacy Practice</w:t>
      </w:r>
      <w:r>
        <w:rPr>
          <w:rFonts w:ascii="Arial"/>
          <w:sz w:val="20"/>
        </w:rPr>
        <w:t xml:space="preserve">, </w:t>
      </w:r>
      <w:r w:rsidRPr="00AE2140">
        <w:rPr>
          <w:rFonts w:ascii="Arial"/>
          <w:sz w:val="20"/>
        </w:rPr>
        <w:t>JSS College of Pharmacy/JSS Medical College &amp; Hospital</w:t>
      </w:r>
      <w:r>
        <w:rPr>
          <w:rFonts w:ascii="Arial"/>
          <w:sz w:val="20"/>
        </w:rPr>
        <w:t xml:space="preserve">, </w:t>
      </w:r>
      <w:r w:rsidRPr="00AE2140">
        <w:rPr>
          <w:rFonts w:ascii="Arial"/>
          <w:sz w:val="20"/>
        </w:rPr>
        <w:t>Mysuru</w:t>
      </w:r>
      <w:r>
        <w:rPr>
          <w:rFonts w:ascii="Arial"/>
          <w:sz w:val="20"/>
          <w:vertAlign w:val="superscript"/>
        </w:rPr>
        <w:t>1</w:t>
      </w:r>
    </w:p>
    <w:p w14:paraId="57E9E072" w14:textId="128381BF" w:rsidR="00AE3E37" w:rsidRDefault="00A9710C" w:rsidP="00904968">
      <w:pPr>
        <w:pStyle w:val="Heading3"/>
        <w:spacing w:before="147"/>
        <w:ind w:left="0"/>
        <w:jc w:val="both"/>
      </w:pPr>
      <w:r>
        <w:rPr>
          <w:color w:val="BF5A14"/>
        </w:rPr>
        <w:t>Abstract</w:t>
      </w:r>
      <w:r w:rsidR="00404E5B">
        <w:rPr>
          <w:color w:val="BF5A14"/>
        </w:rPr>
        <w:t xml:space="preserve"> </w:t>
      </w:r>
    </w:p>
    <w:p w14:paraId="2E02EF9F" w14:textId="77777777" w:rsidR="00AE2140" w:rsidRDefault="00AE2140" w:rsidP="00AE2140">
      <w:pPr>
        <w:pStyle w:val="BodyText"/>
        <w:spacing w:before="90" w:line="280" w:lineRule="auto"/>
        <w:ind w:left="100"/>
        <w:jc w:val="both"/>
      </w:pPr>
      <w:r>
        <w:t>Abstract:</w:t>
      </w:r>
    </w:p>
    <w:p w14:paraId="425467D4" w14:textId="2A466085" w:rsidR="00AE3E37" w:rsidRDefault="00AE2140" w:rsidP="00AE2140">
      <w:pPr>
        <w:pStyle w:val="BodyText"/>
        <w:spacing w:before="90" w:line="280" w:lineRule="auto"/>
        <w:ind w:left="100"/>
        <w:jc w:val="both"/>
      </w:pPr>
      <w:r>
        <w:t>Diclofenac is a most commonly used NSAID for pain and inflammatory management. Diclofenac has an equipotential inhibitory action on Cyclooxygenase (COX) 1 and 2 enzymes, there by hindering prostaglandin production. In a hospital setting it is administered through intramuscular (IM), intravenous (IV), transdermal, oral and rectal routes.</w:t>
      </w:r>
      <w:r w:rsidR="00B15E5B">
        <w:t xml:space="preserve"> </w:t>
      </w:r>
      <w:r>
        <w:t xml:space="preserve">Although, the medication is considered as an appropriate option to treat post-operative pain, it is associated with morbid syndromes like </w:t>
      </w:r>
      <w:proofErr w:type="spellStart"/>
      <w:r>
        <w:t>Kounis</w:t>
      </w:r>
      <w:proofErr w:type="spellEnd"/>
      <w:r>
        <w:t xml:space="preserve"> and </w:t>
      </w:r>
      <w:proofErr w:type="spellStart"/>
      <w:r>
        <w:t>Nicolau</w:t>
      </w:r>
      <w:proofErr w:type="spellEnd"/>
      <w:r>
        <w:t xml:space="preserve"> along with gastrointestinal, hepatic, neurological, renal and respiratory adverse effects</w:t>
      </w:r>
      <w:r w:rsidR="00E765B3">
        <w:t>. The</w:t>
      </w:r>
      <w:r>
        <w:t xml:space="preserve"> immunological adverse effects are comparatively underreported</w:t>
      </w:r>
      <w:r w:rsidR="00E765B3">
        <w:t xml:space="preserve"> and </w:t>
      </w:r>
      <w:r>
        <w:t xml:space="preserve">among those reported anaphylactic reactions associated with IM and rectal routes of administration of diclofenac are common. Whereas, IV and oral route diclofenac allergies are rare. </w:t>
      </w:r>
      <w:r w:rsidR="00E765B3">
        <w:t>The</w:t>
      </w:r>
      <w:r>
        <w:t xml:space="preserve"> case report series of diclofenac allergy by IV and oral diclofenac administration are reported here.  In either cases patient developed drug induced hypersensitivity reaction as soon as the drug administered, causality assessment is performed </w:t>
      </w:r>
      <w:r w:rsidR="00E765B3">
        <w:t>in</w:t>
      </w:r>
      <w:r>
        <w:t xml:space="preserve"> both the cases and concluded </w:t>
      </w:r>
      <w:r w:rsidR="00904968">
        <w:t xml:space="preserve">that </w:t>
      </w:r>
      <w:r>
        <w:t>the reaction was moderate and definitely preventable</w:t>
      </w:r>
      <w:r w:rsidR="00904968">
        <w:t xml:space="preserve"> in one</w:t>
      </w:r>
      <w:r>
        <w:t xml:space="preserve"> as the patient informed of a similar reaction in past after diclofenac injection and in the other case the causality assessment stated the reaction was moderate and not preventable as patient has no past history. Thus, our paper concludes by saying adverse effects of diclofenac include angioedema usually </w:t>
      </w:r>
      <w:r w:rsidR="00904968">
        <w:t>quite</w:t>
      </w:r>
      <w:r>
        <w:t xml:space="preserve"> self-limiting, though it is proven to be fatal at times. Thus, the condition should be identified early and the offending agent should be removed. Corticosteroids antihistamines can be useful in management. Healthcare professionals should keep in mind the possible adverse reactions of the diclofenac and the patient should be well enquired about reaction history or to be informed regarding the adverse reaction caused by the drug before prescribing and dispensing it.    </w:t>
      </w:r>
    </w:p>
    <w:p w14:paraId="3B2017DE" w14:textId="41AC1C9A" w:rsidR="00AE3E37" w:rsidRDefault="00A9710C">
      <w:pPr>
        <w:pStyle w:val="Heading3"/>
        <w:spacing w:before="74"/>
      </w:pPr>
      <w:r>
        <w:rPr>
          <w:b w:val="0"/>
        </w:rPr>
        <w:br w:type="column"/>
      </w:r>
    </w:p>
    <w:p w14:paraId="5940700C" w14:textId="02D20BA0" w:rsidR="00AE3E37" w:rsidRDefault="00AE3E37">
      <w:pPr>
        <w:pStyle w:val="BodyText"/>
        <w:spacing w:before="2"/>
        <w:rPr>
          <w:rFonts w:ascii="Arial"/>
          <w:b/>
          <w:sz w:val="16"/>
        </w:rPr>
      </w:pPr>
    </w:p>
    <w:p w14:paraId="18175261" w14:textId="744912D8" w:rsidR="005973B9" w:rsidRDefault="005973B9" w:rsidP="005973B9">
      <w:pPr>
        <w:spacing w:line="204" w:lineRule="exact"/>
        <w:rPr>
          <w:rFonts w:ascii="Arial"/>
          <w:b/>
          <w:color w:val="BF5A14"/>
          <w:sz w:val="20"/>
        </w:rPr>
      </w:pPr>
      <w:r>
        <w:rPr>
          <w:rFonts w:ascii="Arial"/>
          <w:b/>
          <w:color w:val="BF5A14"/>
          <w:sz w:val="20"/>
        </w:rPr>
        <w:br/>
      </w:r>
      <w:r w:rsidR="00B15E5B">
        <w:rPr>
          <w:rFonts w:ascii="Arial"/>
          <w:b/>
          <w:color w:val="BF5A14"/>
          <w:sz w:val="20"/>
        </w:rPr>
        <w:t xml:space="preserve">References: </w:t>
      </w:r>
    </w:p>
    <w:p w14:paraId="1582D5E9" w14:textId="77777777" w:rsidR="00B15E5B" w:rsidRPr="00B15E5B" w:rsidRDefault="00B15E5B" w:rsidP="00B15E5B">
      <w:pPr>
        <w:pStyle w:val="ListParagraph"/>
        <w:numPr>
          <w:ilvl w:val="0"/>
          <w:numId w:val="4"/>
        </w:numPr>
        <w:spacing w:line="204" w:lineRule="exact"/>
        <w:rPr>
          <w:rFonts w:ascii="Arial"/>
          <w:bCs/>
          <w:sz w:val="20"/>
        </w:rPr>
      </w:pPr>
      <w:proofErr w:type="spellStart"/>
      <w:r w:rsidRPr="00B15E5B">
        <w:rPr>
          <w:rFonts w:ascii="Arial"/>
          <w:bCs/>
          <w:sz w:val="20"/>
        </w:rPr>
        <w:t>Namazy</w:t>
      </w:r>
      <w:proofErr w:type="spellEnd"/>
      <w:r w:rsidRPr="00B15E5B">
        <w:rPr>
          <w:rFonts w:ascii="Arial"/>
          <w:bCs/>
          <w:sz w:val="20"/>
        </w:rPr>
        <w:t xml:space="preserve"> J.A., Simon R.A. Sensitivity to nonsteroidal anti-inflammatory drugs. Ann Allergy Asthma Immunol. </w:t>
      </w:r>
      <w:proofErr w:type="gramStart"/>
      <w:r w:rsidRPr="00B15E5B">
        <w:rPr>
          <w:rFonts w:ascii="Arial"/>
          <w:bCs/>
          <w:sz w:val="20"/>
        </w:rPr>
        <w:t>2002;89:542</w:t>
      </w:r>
      <w:proofErr w:type="gramEnd"/>
      <w:r w:rsidRPr="00B15E5B">
        <w:rPr>
          <w:rFonts w:ascii="Arial"/>
          <w:bCs/>
          <w:sz w:val="20"/>
        </w:rPr>
        <w:t>–</w:t>
      </w:r>
      <w:r w:rsidRPr="00B15E5B">
        <w:rPr>
          <w:rFonts w:ascii="Arial"/>
          <w:bCs/>
          <w:sz w:val="20"/>
        </w:rPr>
        <w:t>550. [PubMed] [Google Scholar]</w:t>
      </w:r>
    </w:p>
    <w:p w14:paraId="57550590" w14:textId="77777777" w:rsidR="00B15E5B" w:rsidRPr="00B15E5B" w:rsidRDefault="00B15E5B" w:rsidP="00B15E5B">
      <w:pPr>
        <w:pStyle w:val="ListParagraph"/>
        <w:numPr>
          <w:ilvl w:val="0"/>
          <w:numId w:val="4"/>
        </w:numPr>
        <w:spacing w:line="204" w:lineRule="exact"/>
        <w:rPr>
          <w:rFonts w:ascii="Arial"/>
          <w:bCs/>
          <w:sz w:val="20"/>
        </w:rPr>
      </w:pPr>
      <w:r w:rsidRPr="00B15E5B">
        <w:rPr>
          <w:rFonts w:ascii="Arial"/>
          <w:bCs/>
          <w:sz w:val="20"/>
        </w:rPr>
        <w:t xml:space="preserve">5. Sanchez-Borges M., </w:t>
      </w:r>
      <w:proofErr w:type="spellStart"/>
      <w:r w:rsidRPr="00B15E5B">
        <w:rPr>
          <w:rFonts w:ascii="Arial"/>
          <w:bCs/>
          <w:sz w:val="20"/>
        </w:rPr>
        <w:t>Capriles-Hulett</w:t>
      </w:r>
      <w:proofErr w:type="spellEnd"/>
      <w:r w:rsidRPr="00B15E5B">
        <w:rPr>
          <w:rFonts w:ascii="Arial"/>
          <w:bCs/>
          <w:sz w:val="20"/>
        </w:rPr>
        <w:t xml:space="preserve"> A. Atopy is a risk factor for non-steroidal anti-inflammatory drug sensitivity. Ann Allergy Asthma Immunol. </w:t>
      </w:r>
      <w:proofErr w:type="gramStart"/>
      <w:r w:rsidRPr="00B15E5B">
        <w:rPr>
          <w:rFonts w:ascii="Arial"/>
          <w:bCs/>
          <w:sz w:val="20"/>
        </w:rPr>
        <w:t>2000;84:101</w:t>
      </w:r>
      <w:proofErr w:type="gramEnd"/>
      <w:r w:rsidRPr="00B15E5B">
        <w:rPr>
          <w:rFonts w:ascii="Arial"/>
          <w:bCs/>
          <w:sz w:val="20"/>
        </w:rPr>
        <w:t>–</w:t>
      </w:r>
      <w:r w:rsidRPr="00B15E5B">
        <w:rPr>
          <w:rFonts w:ascii="Arial"/>
          <w:bCs/>
          <w:sz w:val="20"/>
        </w:rPr>
        <w:t>106. [PubMed] [Google Scholar]</w:t>
      </w:r>
    </w:p>
    <w:p w14:paraId="73C34ECF" w14:textId="77777777" w:rsidR="00B15E5B" w:rsidRPr="00B15E5B" w:rsidRDefault="00B15E5B" w:rsidP="00B15E5B">
      <w:pPr>
        <w:pStyle w:val="ListParagraph"/>
        <w:numPr>
          <w:ilvl w:val="0"/>
          <w:numId w:val="4"/>
        </w:numPr>
        <w:spacing w:line="204" w:lineRule="exact"/>
        <w:rPr>
          <w:rFonts w:ascii="Arial"/>
          <w:bCs/>
          <w:sz w:val="20"/>
        </w:rPr>
      </w:pPr>
      <w:r w:rsidRPr="00B15E5B">
        <w:rPr>
          <w:rFonts w:ascii="Arial"/>
          <w:bCs/>
          <w:sz w:val="20"/>
        </w:rPr>
        <w:t xml:space="preserve">6. </w:t>
      </w:r>
      <w:proofErr w:type="spellStart"/>
      <w:r w:rsidRPr="00B15E5B">
        <w:rPr>
          <w:rFonts w:ascii="Arial"/>
          <w:bCs/>
          <w:sz w:val="20"/>
        </w:rPr>
        <w:t>Asero</w:t>
      </w:r>
      <w:proofErr w:type="spellEnd"/>
      <w:r w:rsidRPr="00B15E5B">
        <w:rPr>
          <w:rFonts w:ascii="Arial"/>
          <w:bCs/>
          <w:sz w:val="20"/>
        </w:rPr>
        <w:t xml:space="preserve"> R. Intolerance to nonsteroidal anti-inflammatory drugs might precede by years the onset of chronic urticaria. J Allergy Clin Immunol. </w:t>
      </w:r>
      <w:proofErr w:type="gramStart"/>
      <w:r w:rsidRPr="00B15E5B">
        <w:rPr>
          <w:rFonts w:ascii="Arial"/>
          <w:bCs/>
          <w:sz w:val="20"/>
        </w:rPr>
        <w:t>2003;111:1095</w:t>
      </w:r>
      <w:proofErr w:type="gramEnd"/>
      <w:r w:rsidRPr="00B15E5B">
        <w:rPr>
          <w:rFonts w:ascii="Arial"/>
          <w:bCs/>
          <w:sz w:val="20"/>
        </w:rPr>
        <w:t>–</w:t>
      </w:r>
      <w:r w:rsidRPr="00B15E5B">
        <w:rPr>
          <w:rFonts w:ascii="Arial"/>
          <w:bCs/>
          <w:sz w:val="20"/>
        </w:rPr>
        <w:t>1098. [PubMed] [Google Scholar]</w:t>
      </w:r>
    </w:p>
    <w:p w14:paraId="26B351D0" w14:textId="77777777" w:rsidR="00B15E5B" w:rsidRPr="00B15E5B" w:rsidRDefault="00B15E5B" w:rsidP="00B15E5B">
      <w:pPr>
        <w:pStyle w:val="ListParagraph"/>
        <w:numPr>
          <w:ilvl w:val="0"/>
          <w:numId w:val="4"/>
        </w:numPr>
        <w:spacing w:line="204" w:lineRule="exact"/>
        <w:rPr>
          <w:rFonts w:ascii="Arial"/>
          <w:bCs/>
          <w:sz w:val="20"/>
        </w:rPr>
      </w:pPr>
      <w:r w:rsidRPr="00B15E5B">
        <w:rPr>
          <w:rFonts w:ascii="Arial"/>
          <w:bCs/>
          <w:sz w:val="20"/>
        </w:rPr>
        <w:t xml:space="preserve">7. </w:t>
      </w:r>
      <w:proofErr w:type="spellStart"/>
      <w:r w:rsidRPr="00B15E5B">
        <w:rPr>
          <w:rFonts w:ascii="Arial"/>
          <w:bCs/>
          <w:sz w:val="20"/>
        </w:rPr>
        <w:t>Mou</w:t>
      </w:r>
      <w:proofErr w:type="spellEnd"/>
      <w:r w:rsidRPr="00B15E5B">
        <w:rPr>
          <w:rFonts w:ascii="Arial"/>
          <w:bCs/>
          <w:sz w:val="20"/>
        </w:rPr>
        <w:t xml:space="preserve"> S.S., Punaro L., Anton J., Luckett P.M. Severe systemic hypersensitivity reaction to ibuprofen: a presentation of systemic lupus erythematosus. J </w:t>
      </w:r>
      <w:proofErr w:type="spellStart"/>
      <w:r w:rsidRPr="00B15E5B">
        <w:rPr>
          <w:rFonts w:ascii="Arial"/>
          <w:bCs/>
          <w:sz w:val="20"/>
        </w:rPr>
        <w:t>Rheumatol</w:t>
      </w:r>
      <w:proofErr w:type="spellEnd"/>
      <w:r w:rsidRPr="00B15E5B">
        <w:rPr>
          <w:rFonts w:ascii="Arial"/>
          <w:bCs/>
          <w:sz w:val="20"/>
        </w:rPr>
        <w:t xml:space="preserve">. </w:t>
      </w:r>
      <w:proofErr w:type="gramStart"/>
      <w:r w:rsidRPr="00B15E5B">
        <w:rPr>
          <w:rFonts w:ascii="Arial"/>
          <w:bCs/>
          <w:sz w:val="20"/>
        </w:rPr>
        <w:t>2006;33:171</w:t>
      </w:r>
      <w:proofErr w:type="gramEnd"/>
      <w:r w:rsidRPr="00B15E5B">
        <w:rPr>
          <w:rFonts w:ascii="Arial"/>
          <w:bCs/>
          <w:sz w:val="20"/>
        </w:rPr>
        <w:t>–</w:t>
      </w:r>
      <w:r w:rsidRPr="00B15E5B">
        <w:rPr>
          <w:rFonts w:ascii="Arial"/>
          <w:bCs/>
          <w:sz w:val="20"/>
        </w:rPr>
        <w:t>172. [PubMed] [Google Scholar]</w:t>
      </w:r>
    </w:p>
    <w:p w14:paraId="3264E753" w14:textId="0BE7EA69" w:rsidR="00B15E5B" w:rsidRDefault="00B15E5B" w:rsidP="00B15E5B">
      <w:pPr>
        <w:pStyle w:val="ListParagraph"/>
        <w:numPr>
          <w:ilvl w:val="0"/>
          <w:numId w:val="4"/>
        </w:numPr>
        <w:spacing w:line="204" w:lineRule="exact"/>
        <w:rPr>
          <w:rFonts w:ascii="Arial"/>
          <w:bCs/>
          <w:sz w:val="20"/>
        </w:rPr>
      </w:pPr>
      <w:r w:rsidRPr="00B15E5B">
        <w:rPr>
          <w:rFonts w:ascii="Arial"/>
          <w:bCs/>
          <w:sz w:val="20"/>
        </w:rPr>
        <w:t xml:space="preserve">8. O'Brien W.M. Adverse reactions to nonsteroidal anti-inflammatory drugs. Diclofenac compared with other nonsteroidal anti-inflammatory drugs. Am J Med. </w:t>
      </w:r>
      <w:proofErr w:type="gramStart"/>
      <w:r w:rsidRPr="00B15E5B">
        <w:rPr>
          <w:rFonts w:ascii="Arial"/>
          <w:bCs/>
          <w:sz w:val="20"/>
        </w:rPr>
        <w:t>1986;80:70</w:t>
      </w:r>
      <w:proofErr w:type="gramEnd"/>
      <w:r w:rsidRPr="00B15E5B">
        <w:rPr>
          <w:rFonts w:ascii="Arial"/>
          <w:bCs/>
          <w:sz w:val="20"/>
        </w:rPr>
        <w:t>–</w:t>
      </w:r>
      <w:r w:rsidRPr="00B15E5B">
        <w:rPr>
          <w:rFonts w:ascii="Arial"/>
          <w:bCs/>
          <w:sz w:val="20"/>
        </w:rPr>
        <w:t>80.</w:t>
      </w:r>
    </w:p>
    <w:p w14:paraId="57C856CC" w14:textId="77777777" w:rsidR="00B15E5B" w:rsidRPr="00B15E5B" w:rsidRDefault="00B15E5B" w:rsidP="00B15E5B">
      <w:pPr>
        <w:pStyle w:val="ListParagraph"/>
        <w:numPr>
          <w:ilvl w:val="0"/>
          <w:numId w:val="4"/>
        </w:numPr>
        <w:spacing w:line="204" w:lineRule="exact"/>
        <w:rPr>
          <w:rFonts w:ascii="Arial"/>
          <w:bCs/>
          <w:sz w:val="20"/>
        </w:rPr>
      </w:pPr>
      <w:r w:rsidRPr="00B15E5B">
        <w:rPr>
          <w:rFonts w:ascii="Arial"/>
          <w:bCs/>
          <w:sz w:val="20"/>
        </w:rPr>
        <w:t>Tang W. The metabolism of diclofenac</w:t>
      </w:r>
      <w:r w:rsidRPr="00B15E5B">
        <w:rPr>
          <w:rFonts w:ascii="Arial"/>
          <w:bCs/>
          <w:sz w:val="20"/>
        </w:rPr>
        <w:t>–</w:t>
      </w:r>
      <w:r w:rsidRPr="00B15E5B">
        <w:rPr>
          <w:rFonts w:ascii="Arial"/>
          <w:bCs/>
          <w:sz w:val="20"/>
        </w:rPr>
        <w:t xml:space="preserve">enzymology and toxicology perspectives. </w:t>
      </w:r>
      <w:proofErr w:type="spellStart"/>
      <w:r w:rsidRPr="00B15E5B">
        <w:rPr>
          <w:rFonts w:ascii="Arial"/>
          <w:bCs/>
          <w:sz w:val="20"/>
        </w:rPr>
        <w:t>Curr</w:t>
      </w:r>
      <w:proofErr w:type="spellEnd"/>
      <w:r w:rsidRPr="00B15E5B">
        <w:rPr>
          <w:rFonts w:ascii="Arial"/>
          <w:bCs/>
          <w:sz w:val="20"/>
        </w:rPr>
        <w:t xml:space="preserve"> Drug </w:t>
      </w:r>
      <w:proofErr w:type="spellStart"/>
      <w:r w:rsidRPr="00B15E5B">
        <w:rPr>
          <w:rFonts w:ascii="Arial"/>
          <w:bCs/>
          <w:sz w:val="20"/>
        </w:rPr>
        <w:t>Metab</w:t>
      </w:r>
      <w:proofErr w:type="spellEnd"/>
      <w:r w:rsidRPr="00B15E5B">
        <w:rPr>
          <w:rFonts w:ascii="Arial"/>
          <w:bCs/>
          <w:sz w:val="20"/>
        </w:rPr>
        <w:t xml:space="preserve">. </w:t>
      </w:r>
      <w:proofErr w:type="gramStart"/>
      <w:r w:rsidRPr="00B15E5B">
        <w:rPr>
          <w:rFonts w:ascii="Arial"/>
          <w:bCs/>
          <w:sz w:val="20"/>
        </w:rPr>
        <w:t>2003;4:319</w:t>
      </w:r>
      <w:proofErr w:type="gramEnd"/>
      <w:r w:rsidRPr="00B15E5B">
        <w:rPr>
          <w:rFonts w:ascii="Arial"/>
          <w:bCs/>
          <w:sz w:val="20"/>
        </w:rPr>
        <w:t>–</w:t>
      </w:r>
      <w:r w:rsidRPr="00B15E5B">
        <w:rPr>
          <w:rFonts w:ascii="Arial"/>
          <w:bCs/>
          <w:sz w:val="20"/>
        </w:rPr>
        <w:t>329. [PubMed] [Google Scholar]</w:t>
      </w:r>
    </w:p>
    <w:p w14:paraId="5B187BF6" w14:textId="3BB6B5F0" w:rsidR="00B15E5B" w:rsidRPr="00B15E5B" w:rsidRDefault="00B15E5B" w:rsidP="00B15E5B">
      <w:pPr>
        <w:pStyle w:val="ListParagraph"/>
        <w:numPr>
          <w:ilvl w:val="0"/>
          <w:numId w:val="4"/>
        </w:numPr>
        <w:spacing w:line="204" w:lineRule="exact"/>
        <w:rPr>
          <w:rFonts w:ascii="Arial"/>
          <w:bCs/>
          <w:sz w:val="20"/>
        </w:rPr>
      </w:pPr>
      <w:r w:rsidRPr="00B15E5B">
        <w:rPr>
          <w:rFonts w:ascii="Arial"/>
          <w:bCs/>
          <w:sz w:val="20"/>
        </w:rPr>
        <w:t xml:space="preserve">11. </w:t>
      </w:r>
      <w:proofErr w:type="spellStart"/>
      <w:r w:rsidRPr="00B15E5B">
        <w:rPr>
          <w:rFonts w:ascii="Arial"/>
          <w:bCs/>
          <w:sz w:val="20"/>
        </w:rPr>
        <w:t>Naisbitt</w:t>
      </w:r>
      <w:proofErr w:type="spellEnd"/>
      <w:r w:rsidRPr="00B15E5B">
        <w:rPr>
          <w:rFonts w:ascii="Arial"/>
          <w:bCs/>
          <w:sz w:val="20"/>
        </w:rPr>
        <w:t xml:space="preserve"> DJ, Sanderson LS, Meng X, </w:t>
      </w:r>
      <w:proofErr w:type="spellStart"/>
      <w:r w:rsidRPr="00B15E5B">
        <w:rPr>
          <w:rFonts w:ascii="Arial"/>
          <w:bCs/>
          <w:sz w:val="20"/>
        </w:rPr>
        <w:t>Stachulski</w:t>
      </w:r>
      <w:proofErr w:type="spellEnd"/>
      <w:r w:rsidRPr="00B15E5B">
        <w:rPr>
          <w:rFonts w:ascii="Arial"/>
          <w:bCs/>
          <w:sz w:val="20"/>
        </w:rPr>
        <w:t xml:space="preserve"> AV, Clarke SE, et al. Investigation of the immunogenicity of diclofenac and diclofenac metabolites. </w:t>
      </w:r>
      <w:proofErr w:type="spellStart"/>
      <w:r w:rsidRPr="00B15E5B">
        <w:rPr>
          <w:rFonts w:ascii="Arial"/>
          <w:bCs/>
          <w:sz w:val="20"/>
        </w:rPr>
        <w:t>Toxicol</w:t>
      </w:r>
      <w:proofErr w:type="spellEnd"/>
      <w:r w:rsidRPr="00B15E5B">
        <w:rPr>
          <w:rFonts w:ascii="Arial"/>
          <w:bCs/>
          <w:sz w:val="20"/>
        </w:rPr>
        <w:t xml:space="preserve"> Lett. </w:t>
      </w:r>
      <w:proofErr w:type="gramStart"/>
      <w:r w:rsidRPr="00B15E5B">
        <w:rPr>
          <w:rFonts w:ascii="Arial"/>
          <w:bCs/>
          <w:sz w:val="20"/>
        </w:rPr>
        <w:t>2007;168:45</w:t>
      </w:r>
      <w:proofErr w:type="gramEnd"/>
      <w:r w:rsidRPr="00B15E5B">
        <w:rPr>
          <w:rFonts w:ascii="Arial"/>
          <w:bCs/>
          <w:sz w:val="20"/>
        </w:rPr>
        <w:t>–</w:t>
      </w:r>
      <w:r w:rsidRPr="00B15E5B">
        <w:rPr>
          <w:rFonts w:ascii="Arial"/>
          <w:bCs/>
          <w:sz w:val="20"/>
        </w:rPr>
        <w:t>50.</w:t>
      </w:r>
    </w:p>
    <w:p w14:paraId="57D489A9" w14:textId="77777777" w:rsidR="00AE3E37" w:rsidRPr="008756E6" w:rsidRDefault="00AE3E37" w:rsidP="008756E6">
      <w:pPr>
        <w:tabs>
          <w:tab w:val="left" w:pos="384"/>
        </w:tabs>
        <w:ind w:right="117"/>
      </w:pPr>
    </w:p>
    <w:p w14:paraId="0FB1FA8E" w14:textId="77777777"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39E5CB1D" w14:textId="77777777" w:rsidR="00AE3E37" w:rsidRDefault="00AE3E37">
      <w:pPr>
        <w:pStyle w:val="BodyText"/>
        <w:rPr>
          <w:rFonts w:ascii="Calibri"/>
          <w:sz w:val="20"/>
        </w:rPr>
      </w:pPr>
    </w:p>
    <w:p w14:paraId="3FADF3D9" w14:textId="77777777" w:rsidR="00AE3E37" w:rsidRDefault="00651853">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761AC0" wp14:editId="0EED0DB2">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5F20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BFA4B65" w14:textId="77777777" w:rsidR="00415754" w:rsidRDefault="00651853" w:rsidP="00404E5B">
      <w:pPr>
        <w:spacing w:before="92"/>
        <w:ind w:right="4234"/>
        <w:rPr>
          <w:noProof/>
          <w:lang w:val="en-IN" w:eastAsia="en-IN"/>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1" locked="0" layoutInCell="1" allowOverlap="1" wp14:anchorId="37332641" wp14:editId="15246676">
                <wp:simplePos x="0" y="0"/>
                <wp:positionH relativeFrom="column">
                  <wp:posOffset>5599430</wp:posOffset>
                </wp:positionH>
                <wp:positionV relativeFrom="paragraph">
                  <wp:posOffset>80010</wp:posOffset>
                </wp:positionV>
                <wp:extent cx="1154430" cy="570230"/>
                <wp:effectExtent l="19050" t="19050" r="26670" b="20320"/>
                <wp:wrapTight wrapText="bothSides">
                  <wp:wrapPolygon edited="0">
                    <wp:start x="0" y="-722"/>
                    <wp:lineTo x="-356" y="-722"/>
                    <wp:lineTo x="-356" y="21648"/>
                    <wp:lineTo x="21743" y="21648"/>
                    <wp:lineTo x="21743" y="722"/>
                    <wp:lineTo x="21386" y="-722"/>
                    <wp:lineTo x="0" y="-722"/>
                  </wp:wrapPolygon>
                </wp:wrapTight>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443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D959AA" w14:textId="6B2B6792" w:rsidR="00A52075" w:rsidRDefault="00415754" w:rsidP="00A52075">
                            <w:pPr>
                              <w:rPr>
                                <w:b/>
                                <w:color w:val="0000FF"/>
                                <w:lang w:val="en-IN"/>
                              </w:rPr>
                            </w:pPr>
                            <w:r w:rsidRPr="00415754">
                              <w:drawing>
                                <wp:inline distT="0" distB="0" distL="0" distR="0" wp14:anchorId="7B313BFB" wp14:editId="3CE79279">
                                  <wp:extent cx="932180" cy="43895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41377" cy="443286"/>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332641" id="Rounded Rectangle 2" o:spid="_x0000_s1026" style="position:absolute;margin-left:440.9pt;margin-top:6.3pt;width:90.9pt;height:44.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" strokecolor="#9bbb59" strokeweight="2.5pt">
                <v:shadow color="#868686"/>
                <v:textbox>
                  <w:txbxContent>
                    <w:p w14:paraId="4DD959AA" w14:textId="6B2B6792" w:rsidR="00A52075" w:rsidRDefault="00415754" w:rsidP="00A52075">
                      <w:pPr>
                        <w:rPr>
                          <w:b/>
                          <w:color w:val="0000FF"/>
                          <w:lang w:val="en-IN"/>
                        </w:rPr>
                      </w:pPr>
                      <w:r w:rsidRPr="00415754">
                        <w:drawing>
                          <wp:inline distT="0" distB="0" distL="0" distR="0" wp14:anchorId="7B313BFB" wp14:editId="3CE79279">
                            <wp:extent cx="932180" cy="43895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41377" cy="443286"/>
                                    </a:xfrm>
                                    <a:prstGeom prst="rect">
                                      <a:avLst/>
                                    </a:prstGeom>
                                  </pic:spPr>
                                </pic:pic>
                              </a:graphicData>
                            </a:graphic>
                          </wp:inline>
                        </w:drawing>
                      </w:r>
                    </w:p>
                  </w:txbxContent>
                </v:textbox>
                <w10:wrap type="tight"/>
              </v:roundrect>
            </w:pict>
          </mc:Fallback>
        </mc:AlternateContent>
      </w:r>
    </w:p>
    <w:p w14:paraId="508F2DFA" w14:textId="77777777" w:rsidR="00415754" w:rsidRDefault="00415754" w:rsidP="00404E5B">
      <w:pPr>
        <w:spacing w:before="92"/>
        <w:ind w:right="4234"/>
        <w:rPr>
          <w:noProof/>
          <w:lang w:val="en-IN" w:eastAsia="en-IN"/>
        </w:rPr>
      </w:pPr>
    </w:p>
    <w:p w14:paraId="7B389257" w14:textId="77777777" w:rsidR="00415754" w:rsidRDefault="00415754" w:rsidP="00404E5B">
      <w:pPr>
        <w:spacing w:before="92"/>
        <w:ind w:right="4234"/>
        <w:rPr>
          <w:noProof/>
          <w:lang w:val="en-IN" w:eastAsia="en-IN"/>
        </w:rPr>
      </w:pPr>
    </w:p>
    <w:p w14:paraId="0F709D48" w14:textId="7BE1D8EC"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
    <w:p w14:paraId="224BD258" w14:textId="4A8BF674" w:rsidR="00415754" w:rsidRDefault="00415754" w:rsidP="00404E5B">
      <w:pPr>
        <w:spacing w:before="92"/>
        <w:ind w:right="4234"/>
        <w:rPr>
          <w:rFonts w:ascii="Arial"/>
        </w:rPr>
      </w:pPr>
      <w:r>
        <w:rPr>
          <w:rFonts w:ascii="Arial"/>
          <w:color w:val="BF5A14"/>
        </w:rPr>
        <w:t xml:space="preserve">  </w:t>
      </w:r>
    </w:p>
    <w:p w14:paraId="6E4E97A3" w14:textId="346AB8C1" w:rsidR="00AE3E37" w:rsidRPr="00DC12B0" w:rsidRDefault="00415754">
      <w:pPr>
        <w:spacing w:before="41" w:line="154" w:lineRule="exact"/>
        <w:ind w:left="213" w:right="231"/>
        <w:jc w:val="both"/>
        <w:rPr>
          <w:rFonts w:ascii="Arial"/>
          <w:sz w:val="18"/>
          <w:szCs w:val="28"/>
        </w:rPr>
      </w:pPr>
      <w:r w:rsidRPr="00DC12B0">
        <w:rPr>
          <w:rFonts w:ascii="Arial"/>
          <w:sz w:val="18"/>
          <w:szCs w:val="28"/>
        </w:rPr>
        <w:t xml:space="preserve">Dr. Meghana has her expertise in management of adverse drug reactions and patient counselling. She has her passion towards health care outcomes and anti-microbial stewardship. She </w:t>
      </w:r>
      <w:r w:rsidR="00DC12B0" w:rsidRPr="00DC12B0">
        <w:rPr>
          <w:rFonts w:ascii="Arial"/>
          <w:sz w:val="18"/>
          <w:szCs w:val="28"/>
        </w:rPr>
        <w:t xml:space="preserve">played a key role in initiation and development of Anti-Microbial stewardship programs that targets all health care professionals of her country. </w:t>
      </w:r>
      <w:r w:rsidR="00DC12B0">
        <w:rPr>
          <w:rFonts w:ascii="Arial"/>
          <w:sz w:val="18"/>
          <w:szCs w:val="28"/>
        </w:rPr>
        <w:t>She served as a clinical research coordinator of COVID vaccine.</w:t>
      </w:r>
    </w:p>
    <w:p w14:paraId="563CB0DA" w14:textId="77777777" w:rsidR="00DC12B0" w:rsidRDefault="00DC12B0" w:rsidP="00DC12B0">
      <w:pPr>
        <w:spacing w:before="62"/>
        <w:ind w:left="4217" w:right="4235"/>
        <w:jc w:val="center"/>
        <w:rPr>
          <w:rFonts w:ascii="Arial"/>
          <w:sz w:val="14"/>
        </w:rPr>
      </w:pPr>
    </w:p>
    <w:p w14:paraId="135584A1" w14:textId="77777777" w:rsidR="00DC12B0" w:rsidRDefault="00DC12B0" w:rsidP="00DC12B0">
      <w:pPr>
        <w:spacing w:before="62"/>
        <w:ind w:left="4217" w:right="4235"/>
        <w:jc w:val="center"/>
        <w:rPr>
          <w:rFonts w:ascii="Arial"/>
          <w:sz w:val="14"/>
        </w:rPr>
      </w:pPr>
    </w:p>
    <w:p w14:paraId="3D6B8A29" w14:textId="77777777" w:rsidR="00DC12B0" w:rsidRDefault="00DC12B0" w:rsidP="00DC12B0">
      <w:pPr>
        <w:spacing w:before="62"/>
        <w:ind w:left="4217" w:right="4235"/>
        <w:jc w:val="center"/>
        <w:rPr>
          <w:rFonts w:ascii="Arial"/>
          <w:sz w:val="14"/>
        </w:rPr>
      </w:pPr>
    </w:p>
    <w:p w14:paraId="502FC153" w14:textId="690102F4" w:rsidR="00AE3E37" w:rsidRPr="00DC12B0" w:rsidRDefault="00DC12B0" w:rsidP="00DC12B0">
      <w:pPr>
        <w:spacing w:before="62"/>
        <w:ind w:right="4235"/>
        <w:jc w:val="center"/>
        <w:rPr>
          <w:rFonts w:ascii="Arial"/>
          <w:sz w:val="14"/>
        </w:rPr>
      </w:pPr>
      <w:r>
        <w:rPr>
          <w:rFonts w:ascii="Arial"/>
          <w:sz w:val="14"/>
        </w:rPr>
        <w:t xml:space="preserve">                                                                            </w:t>
      </w:r>
      <w:proofErr w:type="gramStart"/>
      <w:r w:rsidR="00A9710C">
        <w:rPr>
          <w:rFonts w:ascii="Arial"/>
          <w:sz w:val="14"/>
        </w:rPr>
        <w:t>Email:</w:t>
      </w:r>
      <w:r w:rsidR="008756E6" w:rsidRPr="00DC12B0">
        <w:rPr>
          <w:rFonts w:ascii="Arial"/>
          <w:sz w:val="14"/>
        </w:rPr>
        <w:t>dr</w:t>
      </w:r>
      <w:proofErr w:type="gramEnd"/>
      <w:r w:rsidR="00651853">
        <w:rPr>
          <w:noProof/>
          <w:lang w:val="en-IN" w:eastAsia="en-IN"/>
        </w:rPr>
        <mc:AlternateContent>
          <mc:Choice Requires="wps">
            <w:drawing>
              <wp:anchor distT="4294967295" distB="4294967295" distL="0" distR="0" simplePos="0" relativeHeight="251657728" behindDoc="0" locked="0" layoutInCell="1" allowOverlap="1" wp14:anchorId="5E9C8AA9" wp14:editId="3680681C">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668B0" id="Line 3" o:spid="_x0000_s1026" style="position:absolute;z-index:25165772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r>
        <w:rPr>
          <w:rFonts w:ascii="Arial"/>
          <w:sz w:val="14"/>
        </w:rPr>
        <w:t>.meghanaraonadendla@gmail.com</w:t>
      </w:r>
    </w:p>
    <w:p w14:paraId="53186AA9" w14:textId="77777777" w:rsidR="00AE3E37" w:rsidRDefault="00AE3E37">
      <w:pPr>
        <w:pStyle w:val="BodyText"/>
        <w:rPr>
          <w:rFonts w:ascii="Arial"/>
          <w:sz w:val="20"/>
        </w:rPr>
      </w:pPr>
    </w:p>
    <w:p w14:paraId="6AC0C99B" w14:textId="77777777" w:rsidR="00AE3E37" w:rsidRDefault="00AE3E37">
      <w:pPr>
        <w:pStyle w:val="BodyText"/>
        <w:rPr>
          <w:rFonts w:ascii="Arial"/>
          <w:sz w:val="20"/>
        </w:rPr>
      </w:pPr>
    </w:p>
    <w:p w14:paraId="010334F3" w14:textId="77777777" w:rsidR="00AE3E37" w:rsidRDefault="00AE3E37">
      <w:pPr>
        <w:pStyle w:val="BodyText"/>
        <w:spacing w:before="7"/>
        <w:rPr>
          <w:rFonts w:ascii="Arial"/>
          <w:sz w:val="29"/>
        </w:rPr>
      </w:pPr>
    </w:p>
    <w:p w14:paraId="3C39CF26"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10CCB01C" w14:textId="77777777" w:rsidR="00F046EA" w:rsidRPr="0013708E" w:rsidRDefault="00F046EA" w:rsidP="00F046EA">
      <w:pPr>
        <w:jc w:val="both"/>
        <w:rPr>
          <w:b/>
        </w:rPr>
      </w:pPr>
      <w:r w:rsidRPr="0013708E">
        <w:rPr>
          <w:b/>
        </w:rPr>
        <w:lastRenderedPageBreak/>
        <w:t xml:space="preserve">Presenting author details </w:t>
      </w:r>
    </w:p>
    <w:p w14:paraId="178CEAB5" w14:textId="28CBAF46" w:rsidR="00F046EA" w:rsidRPr="0013708E" w:rsidRDefault="00F046EA" w:rsidP="00F046EA">
      <w:pPr>
        <w:jc w:val="both"/>
      </w:pPr>
      <w:r w:rsidRPr="0013708E">
        <w:t xml:space="preserve">Full name: </w:t>
      </w:r>
      <w:r w:rsidR="00DC12B0">
        <w:t>Dr. Meghana Nadella</w:t>
      </w:r>
    </w:p>
    <w:p w14:paraId="1414CEA4" w14:textId="576399F4" w:rsidR="00F046EA" w:rsidRDefault="00F046EA" w:rsidP="00F046EA">
      <w:pPr>
        <w:jc w:val="both"/>
      </w:pPr>
      <w:r w:rsidRPr="0013708E">
        <w:t>Contact number:</w:t>
      </w:r>
      <w:r w:rsidR="00DC12B0">
        <w:t xml:space="preserve"> 7997051755</w:t>
      </w:r>
    </w:p>
    <w:p w14:paraId="7D48157C" w14:textId="7E5AD2E4" w:rsidR="00F046EA" w:rsidRPr="0013708E" w:rsidRDefault="00F046EA" w:rsidP="00F046EA">
      <w:pPr>
        <w:jc w:val="both"/>
      </w:pPr>
      <w:r>
        <w:t xml:space="preserve">Mail id: </w:t>
      </w:r>
      <w:r w:rsidR="00DC12B0">
        <w:t>dr.meghanaraonadendla@gmail.com</w:t>
      </w:r>
    </w:p>
    <w:p w14:paraId="516D20D2" w14:textId="6AA3D465" w:rsidR="00AE3E37" w:rsidRDefault="00F046EA" w:rsidP="00017FD0">
      <w:pPr>
        <w:jc w:val="both"/>
        <w:rPr>
          <w:rFonts w:ascii="Minion Pro"/>
          <w:sz w:val="26"/>
        </w:rPr>
      </w:pPr>
      <w:r w:rsidRPr="0013708E">
        <w:t>Category: (Oral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EF4CD" w14:textId="77777777" w:rsidR="00DA2CCD" w:rsidRDefault="00DA2CCD">
      <w:r>
        <w:separator/>
      </w:r>
    </w:p>
  </w:endnote>
  <w:endnote w:type="continuationSeparator" w:id="0">
    <w:p w14:paraId="56D6FFEE" w14:textId="77777777" w:rsidR="00DA2CCD" w:rsidRDefault="00DA2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94D0F" w14:textId="77777777" w:rsidR="00AE3E37" w:rsidRDefault="00651853">
    <w:pPr>
      <w:pStyle w:val="BodyText"/>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14:anchorId="3CADFE3C" wp14:editId="79FF0834">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035C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FB254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ADFE3C"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B6035C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FB254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0" behindDoc="1" locked="0" layoutInCell="1" allowOverlap="1" wp14:anchorId="47EAACE0" wp14:editId="10F6DC2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0AC3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F5CC05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AACE0"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C80AC3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F5CC05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69678DCA" wp14:editId="44B77A3D">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E7D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5C29FC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678DCA"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DCE7D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5C29FC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5DC02" w14:textId="77777777" w:rsidR="00DA2CCD" w:rsidRDefault="00DA2CCD">
      <w:r>
        <w:separator/>
      </w:r>
    </w:p>
  </w:footnote>
  <w:footnote w:type="continuationSeparator" w:id="0">
    <w:p w14:paraId="3781F655" w14:textId="77777777" w:rsidR="00DA2CCD" w:rsidRDefault="00DA2C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253E1"/>
    <w:multiLevelType w:val="hybridMultilevel"/>
    <w:tmpl w:val="5CDA7C1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822895716">
    <w:abstractNumId w:val="1"/>
  </w:num>
  <w:num w:numId="2" w16cid:durableId="1385442796">
    <w:abstractNumId w:val="2"/>
  </w:num>
  <w:num w:numId="3" w16cid:durableId="1999573301">
    <w:abstractNumId w:val="1"/>
    <w:lvlOverride w:ilvl="0">
      <w:startOverride w:val="1"/>
    </w:lvlOverride>
    <w:lvlOverride w:ilvl="1"/>
    <w:lvlOverride w:ilvl="2"/>
    <w:lvlOverride w:ilvl="3"/>
    <w:lvlOverride w:ilvl="4"/>
    <w:lvlOverride w:ilvl="5"/>
    <w:lvlOverride w:ilvl="6"/>
    <w:lvlOverride w:ilvl="7"/>
    <w:lvlOverride w:ilvl="8"/>
  </w:num>
  <w:num w:numId="4" w16cid:durableId="906067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7FD0"/>
    <w:rsid w:val="000E2911"/>
    <w:rsid w:val="001263DF"/>
    <w:rsid w:val="00235E8A"/>
    <w:rsid w:val="00292ED9"/>
    <w:rsid w:val="00351D9B"/>
    <w:rsid w:val="00380299"/>
    <w:rsid w:val="00404E5B"/>
    <w:rsid w:val="00414F7B"/>
    <w:rsid w:val="00415754"/>
    <w:rsid w:val="004355DC"/>
    <w:rsid w:val="004749B4"/>
    <w:rsid w:val="00494130"/>
    <w:rsid w:val="004F3523"/>
    <w:rsid w:val="005973B9"/>
    <w:rsid w:val="005B3A56"/>
    <w:rsid w:val="006060CE"/>
    <w:rsid w:val="0061505C"/>
    <w:rsid w:val="0063497F"/>
    <w:rsid w:val="00651853"/>
    <w:rsid w:val="00714354"/>
    <w:rsid w:val="00873DF0"/>
    <w:rsid w:val="008756E6"/>
    <w:rsid w:val="00897EC5"/>
    <w:rsid w:val="008E5477"/>
    <w:rsid w:val="008F0B3B"/>
    <w:rsid w:val="00904968"/>
    <w:rsid w:val="009B2D44"/>
    <w:rsid w:val="00A07E82"/>
    <w:rsid w:val="00A52075"/>
    <w:rsid w:val="00A9710C"/>
    <w:rsid w:val="00AE2140"/>
    <w:rsid w:val="00AE3E37"/>
    <w:rsid w:val="00B15E5B"/>
    <w:rsid w:val="00B21A57"/>
    <w:rsid w:val="00C33602"/>
    <w:rsid w:val="00C56C74"/>
    <w:rsid w:val="00CD6F55"/>
    <w:rsid w:val="00CE0E21"/>
    <w:rsid w:val="00D31ACA"/>
    <w:rsid w:val="00DA2CCD"/>
    <w:rsid w:val="00DC12B0"/>
    <w:rsid w:val="00DE3104"/>
    <w:rsid w:val="00DE6170"/>
    <w:rsid w:val="00E30AAC"/>
    <w:rsid w:val="00E765B3"/>
    <w:rsid w:val="00E95D97"/>
    <w:rsid w:val="00F046EA"/>
    <w:rsid w:val="00F051CC"/>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4F682"/>
  <w15:docId w15:val="{0F979116-243A-4B1B-90CA-2841002DB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213667">
      <w:bodyDiv w:val="1"/>
      <w:marLeft w:val="0"/>
      <w:marRight w:val="0"/>
      <w:marTop w:val="0"/>
      <w:marBottom w:val="0"/>
      <w:divBdr>
        <w:top w:val="none" w:sz="0" w:space="0" w:color="auto"/>
        <w:left w:val="none" w:sz="0" w:space="0" w:color="auto"/>
        <w:bottom w:val="none" w:sz="0" w:space="0" w:color="auto"/>
        <w:right w:val="none" w:sz="0" w:space="0" w:color="auto"/>
      </w:divBdr>
      <w:divsChild>
        <w:div w:id="396055316">
          <w:marLeft w:val="0"/>
          <w:marRight w:val="0"/>
          <w:marTop w:val="200"/>
          <w:marBottom w:val="200"/>
          <w:divBdr>
            <w:top w:val="none" w:sz="0" w:space="0" w:color="auto"/>
            <w:left w:val="none" w:sz="0" w:space="0" w:color="auto"/>
            <w:bottom w:val="none" w:sz="0" w:space="0" w:color="auto"/>
            <w:right w:val="none" w:sz="0" w:space="0" w:color="auto"/>
          </w:divBdr>
        </w:div>
        <w:div w:id="1184825938">
          <w:marLeft w:val="0"/>
          <w:marRight w:val="0"/>
          <w:marTop w:val="200"/>
          <w:marBottom w:val="20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51000484">
      <w:bodyDiv w:val="1"/>
      <w:marLeft w:val="0"/>
      <w:marRight w:val="0"/>
      <w:marTop w:val="0"/>
      <w:marBottom w:val="0"/>
      <w:divBdr>
        <w:top w:val="none" w:sz="0" w:space="0" w:color="auto"/>
        <w:left w:val="none" w:sz="0" w:space="0" w:color="auto"/>
        <w:bottom w:val="none" w:sz="0" w:space="0" w:color="auto"/>
        <w:right w:val="none" w:sz="0" w:space="0" w:color="auto"/>
      </w:divBdr>
      <w:divsChild>
        <w:div w:id="503712677">
          <w:marLeft w:val="0"/>
          <w:marRight w:val="0"/>
          <w:marTop w:val="200"/>
          <w:marBottom w:val="200"/>
          <w:divBdr>
            <w:top w:val="none" w:sz="0" w:space="0" w:color="auto"/>
            <w:left w:val="none" w:sz="0" w:space="0" w:color="auto"/>
            <w:bottom w:val="none" w:sz="0" w:space="0" w:color="auto"/>
            <w:right w:val="none" w:sz="0" w:space="0" w:color="auto"/>
          </w:divBdr>
        </w:div>
        <w:div w:id="828718394">
          <w:marLeft w:val="0"/>
          <w:marRight w:val="0"/>
          <w:marTop w:val="200"/>
          <w:marBottom w:val="200"/>
          <w:divBdr>
            <w:top w:val="none" w:sz="0" w:space="0" w:color="auto"/>
            <w:left w:val="none" w:sz="0" w:space="0" w:color="auto"/>
            <w:bottom w:val="none" w:sz="0" w:space="0" w:color="auto"/>
            <w:right w:val="none" w:sz="0" w:space="0" w:color="auto"/>
          </w:divBdr>
        </w:div>
        <w:div w:id="1631593418">
          <w:marLeft w:val="0"/>
          <w:marRight w:val="0"/>
          <w:marTop w:val="200"/>
          <w:marBottom w:val="200"/>
          <w:divBdr>
            <w:top w:val="none" w:sz="0" w:space="0" w:color="auto"/>
            <w:left w:val="none" w:sz="0" w:space="0" w:color="auto"/>
            <w:bottom w:val="none" w:sz="0" w:space="0" w:color="auto"/>
            <w:right w:val="none" w:sz="0" w:space="0" w:color="auto"/>
          </w:divBdr>
        </w:div>
        <w:div w:id="482966295">
          <w:marLeft w:val="0"/>
          <w:marRight w:val="0"/>
          <w:marTop w:val="200"/>
          <w:marBottom w:val="200"/>
          <w:divBdr>
            <w:top w:val="none" w:sz="0" w:space="0" w:color="auto"/>
            <w:left w:val="none" w:sz="0" w:space="0" w:color="auto"/>
            <w:bottom w:val="none" w:sz="0" w:space="0" w:color="auto"/>
            <w:right w:val="none" w:sz="0" w:space="0" w:color="auto"/>
          </w:divBdr>
        </w:div>
        <w:div w:id="1369645918">
          <w:marLeft w:val="0"/>
          <w:marRight w:val="0"/>
          <w:marTop w:val="200"/>
          <w:marBottom w:val="200"/>
          <w:divBdr>
            <w:top w:val="none" w:sz="0" w:space="0" w:color="auto"/>
            <w:left w:val="none" w:sz="0" w:space="0" w:color="auto"/>
            <w:bottom w:val="none" w:sz="0" w:space="0" w:color="auto"/>
            <w:right w:val="none" w:sz="0" w:space="0" w:color="auto"/>
          </w:divBdr>
        </w:div>
      </w:divsChild>
    </w:div>
    <w:div w:id="1951662825">
      <w:bodyDiv w:val="1"/>
      <w:marLeft w:val="0"/>
      <w:marRight w:val="0"/>
      <w:marTop w:val="0"/>
      <w:marBottom w:val="0"/>
      <w:divBdr>
        <w:top w:val="none" w:sz="0" w:space="0" w:color="auto"/>
        <w:left w:val="none" w:sz="0" w:space="0" w:color="auto"/>
        <w:bottom w:val="none" w:sz="0" w:space="0" w:color="auto"/>
        <w:right w:val="none" w:sz="0" w:space="0" w:color="auto"/>
      </w:divBdr>
      <w:divsChild>
        <w:div w:id="376007830">
          <w:marLeft w:val="0"/>
          <w:marRight w:val="0"/>
          <w:marTop w:val="0"/>
          <w:marBottom w:val="0"/>
          <w:divBdr>
            <w:top w:val="none" w:sz="0" w:space="0" w:color="auto"/>
            <w:left w:val="none" w:sz="0" w:space="0" w:color="auto"/>
            <w:bottom w:val="none" w:sz="0" w:space="0" w:color="auto"/>
            <w:right w:val="none" w:sz="0" w:space="0" w:color="auto"/>
          </w:divBdr>
        </w:div>
        <w:div w:id="1541279943">
          <w:marLeft w:val="0"/>
          <w:marRight w:val="0"/>
          <w:marTop w:val="0"/>
          <w:marBottom w:val="0"/>
          <w:divBdr>
            <w:top w:val="none" w:sz="0" w:space="0" w:color="auto"/>
            <w:left w:val="none" w:sz="0" w:space="0" w:color="auto"/>
            <w:bottom w:val="none" w:sz="0" w:space="0" w:color="auto"/>
            <w:right w:val="none" w:sz="0" w:space="0" w:color="auto"/>
          </w:divBdr>
        </w:div>
        <w:div w:id="964578506">
          <w:marLeft w:val="0"/>
          <w:marRight w:val="0"/>
          <w:marTop w:val="0"/>
          <w:marBottom w:val="0"/>
          <w:divBdr>
            <w:top w:val="none" w:sz="0" w:space="0" w:color="auto"/>
            <w:left w:val="none" w:sz="0" w:space="0" w:color="auto"/>
            <w:bottom w:val="none" w:sz="0" w:space="0" w:color="auto"/>
            <w:right w:val="none" w:sz="0" w:space="0" w:color="auto"/>
          </w:divBdr>
        </w:div>
        <w:div w:id="16929852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meghana nadendla</cp:lastModifiedBy>
  <cp:revision>2</cp:revision>
  <dcterms:created xsi:type="dcterms:W3CDTF">2022-07-06T17:07:00Z</dcterms:created>
  <dcterms:modified xsi:type="dcterms:W3CDTF">2022-07-06T17:07:00Z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