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ind w:left="102"/>
        <w:rPr>
          <w:rFonts w:ascii="Times New Roman"/>
          <w:sz w:val="20"/>
        </w:rPr>
      </w:pPr>
      <w:r>
        <w:rPr>
          <w:rFonts w:ascii="Times New Roman"/>
          <w:sz w:val="20"/>
        </w:rPr>
        <w:drawing>
          <wp:inline distT="0" distB="0" distL="0" distR="0">
            <wp:extent cx="961263" cy="963168"/>
            <wp:effectExtent l="0" t="0" r="0" b="0"/>
            <wp:docPr id="1" name="image1.jpeg"/>
            <wp:cNvGraphicFramePr>
              <a:graphicFrameLocks noChangeAspect="1"/>
            </wp:cNvGraphicFramePr>
            <a:graphic>
              <a:graphicData uri="http://schemas.openxmlformats.org/drawingml/2006/picture">
                <pic:pic>
                  <pic:nvPicPr>
                    <pic:cNvPr id="2" name="image1.jpeg"/>
                    <pic:cNvPicPr/>
                  </pic:nvPicPr>
                  <pic:blipFill>
                    <a:blip r:embed="rId5" cstate="print"/>
                    <a:stretch>
                      <a:fillRect/>
                    </a:stretch>
                  </pic:blipFill>
                  <pic:spPr>
                    <a:xfrm>
                      <a:off x="0" y="0"/>
                      <a:ext cx="961263" cy="963168"/>
                    </a:xfrm>
                    <a:prstGeom prst="rect">
                      <a:avLst/>
                    </a:prstGeom>
                  </pic:spPr>
                </pic:pic>
              </a:graphicData>
            </a:graphic>
          </wp:inline>
        </w:drawing>
      </w:r>
      <w:r>
        <w:rPr>
          <w:rFonts w:ascii="Times New Roman"/>
          <w:sz w:val="20"/>
        </w:rPr>
      </w:r>
    </w:p>
    <w:p>
      <w:pPr>
        <w:pStyle w:val="BodyText"/>
        <w:rPr>
          <w:rFonts w:ascii="Times New Roman"/>
          <w:sz w:val="20"/>
        </w:rPr>
      </w:pPr>
    </w:p>
    <w:p>
      <w:pPr>
        <w:pStyle w:val="BodyText"/>
        <w:spacing w:before="3"/>
        <w:rPr>
          <w:rFonts w:ascii="Times New Roman"/>
          <w:sz w:val="27"/>
        </w:rPr>
      </w:pPr>
    </w:p>
    <w:p>
      <w:pPr>
        <w:pStyle w:val="Title"/>
      </w:pPr>
      <w:r>
        <w:rPr/>
        <w:drawing>
          <wp:anchor distT="0" distB="0" distL="0" distR="0" allowOverlap="1" layoutInCell="1" locked="0" behindDoc="0" simplePos="0" relativeHeight="15728640">
            <wp:simplePos x="0" y="0"/>
            <wp:positionH relativeFrom="page">
              <wp:posOffset>5579109</wp:posOffset>
            </wp:positionH>
            <wp:positionV relativeFrom="paragraph">
              <wp:posOffset>-1303605</wp:posOffset>
            </wp:positionV>
            <wp:extent cx="1474469" cy="1490344"/>
            <wp:effectExtent l="0" t="0" r="0" b="0"/>
            <wp:wrapNone/>
            <wp:docPr id="3" name="image2.jpeg"/>
            <wp:cNvGraphicFramePr>
              <a:graphicFrameLocks noChangeAspect="1"/>
            </wp:cNvGraphicFramePr>
            <a:graphic>
              <a:graphicData uri="http://schemas.openxmlformats.org/drawingml/2006/picture">
                <pic:pic>
                  <pic:nvPicPr>
                    <pic:cNvPr id="4" name="image2.jpeg"/>
                    <pic:cNvPicPr/>
                  </pic:nvPicPr>
                  <pic:blipFill>
                    <a:blip r:embed="rId6" cstate="print"/>
                    <a:stretch>
                      <a:fillRect/>
                    </a:stretch>
                  </pic:blipFill>
                  <pic:spPr>
                    <a:xfrm>
                      <a:off x="0" y="0"/>
                      <a:ext cx="1474469" cy="1490344"/>
                    </a:xfrm>
                    <a:prstGeom prst="rect">
                      <a:avLst/>
                    </a:prstGeom>
                  </pic:spPr>
                </pic:pic>
              </a:graphicData>
            </a:graphic>
          </wp:anchor>
        </w:drawing>
      </w:r>
      <w:r>
        <w:rPr/>
        <w:t>ePoster</w:t>
      </w:r>
    </w:p>
    <w:p>
      <w:pPr>
        <w:pStyle w:val="BodyText"/>
        <w:rPr>
          <w:b/>
          <w:sz w:val="20"/>
        </w:rPr>
      </w:pPr>
    </w:p>
    <w:p>
      <w:pPr>
        <w:pStyle w:val="BodyText"/>
        <w:spacing w:before="5"/>
        <w:rPr>
          <w:b/>
          <w:sz w:val="20"/>
        </w:rPr>
      </w:pPr>
    </w:p>
    <w:p>
      <w:pPr>
        <w:pStyle w:val="BodyText"/>
        <w:spacing w:before="90"/>
        <w:ind w:left="1951" w:right="2007"/>
        <w:jc w:val="center"/>
      </w:pPr>
      <w:r>
        <w:rPr/>
        <w:t>Title: GBS vaccine acceptability among pregnant women in Greece</w:t>
      </w:r>
    </w:p>
    <w:p>
      <w:pPr>
        <w:pStyle w:val="BodyText"/>
        <w:spacing w:before="2"/>
      </w:pPr>
    </w:p>
    <w:p>
      <w:pPr>
        <w:pStyle w:val="BodyText"/>
        <w:spacing w:line="550" w:lineRule="atLeast"/>
        <w:ind w:left="840" w:right="878" w:firstLine="1270"/>
      </w:pPr>
      <w:r>
        <w:rPr/>
        <w:t>Name: Dr. Akylas Grammeniatis BSc, MD, MSc, PhD candidate Microbiology and Infectious Diseases, Faculty of Health Sciences, Department of Nursing,</w:t>
      </w:r>
    </w:p>
    <w:p>
      <w:pPr>
        <w:pStyle w:val="BodyText"/>
        <w:spacing w:before="3"/>
        <w:ind w:left="3542"/>
      </w:pPr>
      <w:r>
        <w:rPr/>
        <w:t>University of Peloponnese, Greece</w:t>
      </w:r>
    </w:p>
    <w:p>
      <w:pPr>
        <w:pStyle w:val="BodyText"/>
        <w:rPr>
          <w:sz w:val="26"/>
        </w:rPr>
      </w:pPr>
    </w:p>
    <w:p>
      <w:pPr>
        <w:pStyle w:val="BodyText"/>
        <w:spacing w:before="6"/>
        <w:rPr>
          <w:sz w:val="36"/>
        </w:rPr>
      </w:pPr>
    </w:p>
    <w:p>
      <w:pPr>
        <w:pStyle w:val="BodyText"/>
        <w:spacing w:before="1"/>
        <w:ind w:left="395" w:right="461"/>
        <w:jc w:val="both"/>
      </w:pPr>
      <w:r>
        <w:rPr/>
        <w:t>Introduction: Group B streptococcus (GBS) has been identified as one of the commonest causes of sepsis and meningitis in neonates leading to increased rates in neonatal morbidity and mortality among developed countries. Over the last years, scientists are trying to find different ways to deal with GBS, ultimately aiming to create a broad spectrum vaccine that would prevent GBS infection.</w:t>
      </w:r>
    </w:p>
    <w:p>
      <w:pPr>
        <w:pStyle w:val="BodyText"/>
      </w:pPr>
    </w:p>
    <w:p>
      <w:pPr>
        <w:pStyle w:val="BodyText"/>
        <w:ind w:left="395" w:right="457"/>
        <w:jc w:val="both"/>
      </w:pPr>
      <w:r>
        <w:rPr/>
        <w:t>Methods: Based on this new vaccine development, one of the goals of this study through completing an anonymous questionnaire, is to monitor the perception of pregnant women in Greece on the complications of GBS infection to their neonates as well as their acceptability to receive any potential vaccine in</w:t>
      </w:r>
      <w:r>
        <w:rPr>
          <w:spacing w:val="1"/>
        </w:rPr>
        <w:t> </w:t>
      </w:r>
      <w:r>
        <w:rPr/>
        <w:t>pregnancy.</w:t>
      </w:r>
    </w:p>
    <w:p>
      <w:pPr>
        <w:pStyle w:val="BodyText"/>
      </w:pPr>
    </w:p>
    <w:p>
      <w:pPr>
        <w:pStyle w:val="BodyText"/>
        <w:ind w:left="395" w:right="454"/>
        <w:jc w:val="both"/>
      </w:pPr>
      <w:r>
        <w:rPr/>
        <w:t>Results: Unfortunately, after reflecting on the results of the collected data based on the answers of the pregnant women that took part in the study, it seems that the information on GBS provided to pregnant women from the health care professionals during their prenatal appointments is very poor (72% of pregnant women were unaware of GBS).</w:t>
      </w:r>
    </w:p>
    <w:p>
      <w:pPr>
        <w:pStyle w:val="BodyText"/>
      </w:pPr>
    </w:p>
    <w:p>
      <w:pPr>
        <w:pStyle w:val="BodyText"/>
        <w:ind w:left="395" w:right="460"/>
        <w:jc w:val="both"/>
      </w:pPr>
      <w:r>
        <w:rPr/>
        <w:t>Discussion: Besides, during this study it was proved that there was a statistically significant increase from 40% to almost 85% in the incidence among those pregnant women who would accept a potential vaccine that would protect from GBS infection, only after reading the information leaflet on GBS that was provided as an internal part of the questionnaire</w:t>
      </w:r>
      <w:r>
        <w:rPr>
          <w:spacing w:val="-4"/>
        </w:rPr>
        <w:t> </w:t>
      </w:r>
      <w:r>
        <w:rPr/>
        <w:t>answered.</w:t>
      </w:r>
    </w:p>
    <w:p>
      <w:pPr>
        <w:pStyle w:val="BodyText"/>
      </w:pPr>
    </w:p>
    <w:p>
      <w:pPr>
        <w:pStyle w:val="BodyText"/>
        <w:ind w:left="395" w:right="464"/>
        <w:jc w:val="both"/>
      </w:pPr>
      <w:r>
        <w:rPr/>
        <w:t>Conclusion: Medical advice and previous GBS infection play a key role in pregnant women’s decision to accept the potential vaccine during their current pregnancy, but despite the recent COVID pandemic, 15% of pregnant women have expressed their opposition to vaccines.</w:t>
      </w:r>
    </w:p>
    <w:p>
      <w:pPr>
        <w:pStyle w:val="BodyText"/>
        <w:rPr>
          <w:sz w:val="26"/>
        </w:rPr>
      </w:pPr>
    </w:p>
    <w:p>
      <w:pPr>
        <w:pStyle w:val="BodyText"/>
        <w:rPr>
          <w:sz w:val="22"/>
        </w:rPr>
      </w:pPr>
    </w:p>
    <w:p>
      <w:pPr>
        <w:pStyle w:val="BodyText"/>
        <w:ind w:left="395" w:right="453"/>
        <w:jc w:val="both"/>
      </w:pPr>
      <w:r>
        <w:rPr/>
        <w:t>Biography: Akylas Grammeniatis is currently working at the Obstetrics and Gynaecology Department of Royal Free Hospital, London and is a PhD candidate in the University of Peloponnese, Greece, PhD entitled: ''</w:t>
      </w:r>
      <w:r>
        <w:rPr>
          <w:u w:val="single"/>
        </w:rPr>
        <w:t>Correlation between asymptomatic bacteriuria - bacterial</w:t>
      </w:r>
      <w:r>
        <w:rPr/>
        <w:t> </w:t>
      </w:r>
      <w:r>
        <w:rPr>
          <w:u w:val="single"/>
        </w:rPr>
        <w:t>vaginosis and streptococcal vaccine with preterm birth</w:t>
      </w:r>
      <w:r>
        <w:rPr/>
        <w:t>’’. His latest publication ‘A review of current knowledge on the development of a Group B Streptococcus vaccine for pregnant women and the protection of neonates’ was part of his research study to investigate the acceptability of the latest vaccine candidates that protect pregnant women against GBS infection and are currently undergoing Phase III clinical trials, being tested in pregnant women.</w:t>
      </w:r>
    </w:p>
    <w:p>
      <w:pPr>
        <w:spacing w:after="0"/>
        <w:jc w:val="both"/>
        <w:sectPr>
          <w:type w:val="continuous"/>
          <w:pgSz w:w="11910" w:h="16840"/>
          <w:pgMar w:top="680" w:bottom="280" w:left="740" w:right="680"/>
        </w:sectPr>
      </w:pPr>
    </w:p>
    <w:p>
      <w:pPr>
        <w:pStyle w:val="BodyText"/>
        <w:spacing w:before="66"/>
        <w:ind w:left="1951" w:right="2005"/>
        <w:jc w:val="center"/>
      </w:pPr>
      <w:r>
        <w:rPr>
          <w:u w:val="single"/>
        </w:rPr>
        <w:t>References</w:t>
      </w:r>
    </w:p>
    <w:p>
      <w:pPr>
        <w:pStyle w:val="BodyText"/>
        <w:spacing w:before="2"/>
        <w:rPr>
          <w:sz w:val="16"/>
        </w:rPr>
      </w:pPr>
    </w:p>
    <w:p>
      <w:pPr>
        <w:pStyle w:val="ListParagraph"/>
        <w:numPr>
          <w:ilvl w:val="0"/>
          <w:numId w:val="1"/>
        </w:numPr>
        <w:tabs>
          <w:tab w:pos="636" w:val="left" w:leader="none"/>
        </w:tabs>
        <w:spacing w:line="240" w:lineRule="auto" w:before="90" w:after="0"/>
        <w:ind w:left="395" w:right="668" w:firstLine="0"/>
        <w:jc w:val="left"/>
        <w:rPr>
          <w:sz w:val="24"/>
        </w:rPr>
      </w:pPr>
      <w:r>
        <w:rPr>
          <w:sz w:val="24"/>
        </w:rPr>
        <w:t>Nanduri SA, Petit S, Smelser C, Apostol M, Alden NB, Harrison LH, et al. Epidemiology of Invasive Early-Onset and Late-Onset Group B Streptococcal Disease in the United States, 2006 to 2015: Multistate Laboratory and Population-Based Surveillance [Internet]. </w:t>
      </w:r>
      <w:r>
        <w:rPr>
          <w:spacing w:val="-9"/>
          <w:sz w:val="24"/>
        </w:rPr>
        <w:t>Vol. </w:t>
      </w:r>
      <w:r>
        <w:rPr>
          <w:sz w:val="24"/>
        </w:rPr>
        <w:t>173, JAMA Pediatrics. American Medical Association; 2019 [cited 2021 May 4]. p.</w:t>
      </w:r>
      <w:r>
        <w:rPr>
          <w:spacing w:val="-30"/>
          <w:sz w:val="24"/>
        </w:rPr>
        <w:t> </w:t>
      </w:r>
      <w:r>
        <w:rPr>
          <w:sz w:val="24"/>
        </w:rPr>
        <w:t>224–33.</w:t>
      </w:r>
    </w:p>
    <w:p>
      <w:pPr>
        <w:pStyle w:val="BodyText"/>
      </w:pPr>
    </w:p>
    <w:p>
      <w:pPr>
        <w:pStyle w:val="ListParagraph"/>
        <w:numPr>
          <w:ilvl w:val="0"/>
          <w:numId w:val="1"/>
        </w:numPr>
        <w:tabs>
          <w:tab w:pos="636" w:val="left" w:leader="none"/>
        </w:tabs>
        <w:spacing w:line="240" w:lineRule="auto" w:before="0" w:after="0"/>
        <w:ind w:left="395" w:right="698" w:firstLine="0"/>
        <w:jc w:val="left"/>
        <w:rPr>
          <w:sz w:val="24"/>
        </w:rPr>
      </w:pPr>
      <w:r>
        <w:rPr>
          <w:sz w:val="24"/>
        </w:rPr>
        <w:t>Patras KA, Nizet </w:t>
      </w:r>
      <w:r>
        <w:rPr>
          <w:spacing w:val="-16"/>
          <w:sz w:val="24"/>
        </w:rPr>
        <w:t>V. </w:t>
      </w:r>
      <w:r>
        <w:rPr>
          <w:sz w:val="24"/>
        </w:rPr>
        <w:t>Group B Streptococcal Maternal Colonization and Neonatal Disease: Molecular Mechanisms and Preventative Approaches. Front Pediatr [Internet]. 2018 Feb 22</w:t>
      </w:r>
      <w:r>
        <w:rPr>
          <w:spacing w:val="-40"/>
          <w:sz w:val="24"/>
        </w:rPr>
        <w:t> </w:t>
      </w:r>
      <w:r>
        <w:rPr>
          <w:sz w:val="24"/>
        </w:rPr>
        <w:t>[cited 2022 Jan</w:t>
      </w:r>
      <w:r>
        <w:rPr>
          <w:spacing w:val="-1"/>
          <w:sz w:val="24"/>
        </w:rPr>
        <w:t> </w:t>
      </w:r>
      <w:r>
        <w:rPr>
          <w:sz w:val="24"/>
        </w:rPr>
        <w:t>27];6.</w:t>
      </w:r>
    </w:p>
    <w:p>
      <w:pPr>
        <w:pStyle w:val="BodyText"/>
      </w:pPr>
    </w:p>
    <w:p>
      <w:pPr>
        <w:pStyle w:val="ListParagraph"/>
        <w:numPr>
          <w:ilvl w:val="0"/>
          <w:numId w:val="1"/>
        </w:numPr>
        <w:tabs>
          <w:tab w:pos="636" w:val="left" w:leader="none"/>
        </w:tabs>
        <w:spacing w:line="240" w:lineRule="auto" w:before="0" w:after="0"/>
        <w:ind w:left="395" w:right="878" w:firstLine="0"/>
        <w:jc w:val="left"/>
        <w:rPr>
          <w:sz w:val="24"/>
        </w:rPr>
      </w:pPr>
      <w:r>
        <w:rPr>
          <w:sz w:val="24"/>
        </w:rPr>
        <w:t>Madhi SA, Dangor Z. Prospects for preventing infant invasive GBS disease through maternal vaccination. </w:t>
      </w:r>
      <w:r>
        <w:rPr>
          <w:spacing w:val="-5"/>
          <w:sz w:val="24"/>
        </w:rPr>
        <w:t>Vaccine </w:t>
      </w:r>
      <w:r>
        <w:rPr>
          <w:sz w:val="24"/>
        </w:rPr>
        <w:t>[Internet]. 2017 Aug 16 [cited 2022 Jan 2];35(35 Pt</w:t>
      </w:r>
      <w:r>
        <w:rPr>
          <w:spacing w:val="-30"/>
          <w:sz w:val="24"/>
        </w:rPr>
        <w:t> </w:t>
      </w:r>
      <w:r>
        <w:rPr>
          <w:sz w:val="24"/>
        </w:rPr>
        <w:t>A):4457–60.</w:t>
      </w:r>
    </w:p>
    <w:p>
      <w:pPr>
        <w:pStyle w:val="BodyText"/>
      </w:pPr>
    </w:p>
    <w:p>
      <w:pPr>
        <w:pStyle w:val="ListParagraph"/>
        <w:numPr>
          <w:ilvl w:val="0"/>
          <w:numId w:val="1"/>
        </w:numPr>
        <w:tabs>
          <w:tab w:pos="636" w:val="left" w:leader="none"/>
        </w:tabs>
        <w:spacing w:line="240" w:lineRule="auto" w:before="0" w:after="0"/>
        <w:ind w:left="395" w:right="640" w:firstLine="0"/>
        <w:jc w:val="left"/>
        <w:rPr>
          <w:sz w:val="24"/>
        </w:rPr>
      </w:pPr>
      <w:r>
        <w:rPr>
          <w:sz w:val="24"/>
        </w:rPr>
        <w:t>McQuaid </w:t>
      </w:r>
      <w:r>
        <w:rPr>
          <w:spacing w:val="-10"/>
          <w:sz w:val="24"/>
        </w:rPr>
        <w:t>F, </w:t>
      </w:r>
      <w:r>
        <w:rPr>
          <w:sz w:val="24"/>
        </w:rPr>
        <w:t>Jones C, Stevens Z, Plumb J, Hughes R, Bedford H, et al. BMJ open factors influencing </w:t>
      </w:r>
      <w:r>
        <w:rPr>
          <w:spacing w:val="-3"/>
          <w:sz w:val="24"/>
        </w:rPr>
        <w:t>women’s </w:t>
      </w:r>
      <w:r>
        <w:rPr>
          <w:sz w:val="24"/>
        </w:rPr>
        <w:t>attitudes towards antenatal vaccines, group B Streptococcus and clinical trial participation in pregnancy: An online </w:t>
      </w:r>
      <w:r>
        <w:rPr>
          <w:spacing w:val="-3"/>
          <w:sz w:val="24"/>
        </w:rPr>
        <w:t>survey. </w:t>
      </w:r>
      <w:r>
        <w:rPr>
          <w:sz w:val="24"/>
        </w:rPr>
        <w:t>BMJ Open.</w:t>
      </w:r>
      <w:r>
        <w:rPr>
          <w:spacing w:val="-9"/>
          <w:sz w:val="24"/>
        </w:rPr>
        <w:t> </w:t>
      </w:r>
      <w:r>
        <w:rPr>
          <w:sz w:val="24"/>
        </w:rPr>
        <w:t>2016.</w:t>
      </w:r>
    </w:p>
    <w:p>
      <w:pPr>
        <w:pStyle w:val="BodyText"/>
      </w:pPr>
    </w:p>
    <w:p>
      <w:pPr>
        <w:pStyle w:val="ListParagraph"/>
        <w:numPr>
          <w:ilvl w:val="0"/>
          <w:numId w:val="1"/>
        </w:numPr>
        <w:tabs>
          <w:tab w:pos="636" w:val="left" w:leader="none"/>
        </w:tabs>
        <w:spacing w:line="240" w:lineRule="auto" w:before="0" w:after="0"/>
        <w:ind w:left="395" w:right="463" w:firstLine="0"/>
        <w:jc w:val="left"/>
        <w:rPr>
          <w:sz w:val="24"/>
        </w:rPr>
      </w:pPr>
      <w:r>
        <w:rPr>
          <w:sz w:val="24"/>
        </w:rPr>
        <w:t>Dempsey </w:t>
      </w:r>
      <w:r>
        <w:rPr>
          <w:spacing w:val="-7"/>
          <w:sz w:val="24"/>
        </w:rPr>
        <w:t>AF, </w:t>
      </w:r>
      <w:r>
        <w:rPr>
          <w:sz w:val="24"/>
        </w:rPr>
        <w:t>Pyrzanowski J, Donnelly M, Brewer S, Barnard J, Beaty BL, et al. Acceptability of a hypothetical group B strep vaccine among pregnant and recently delivered women. </w:t>
      </w:r>
      <w:r>
        <w:rPr>
          <w:spacing w:val="-4"/>
          <w:sz w:val="24"/>
        </w:rPr>
        <w:t>Vaccine.</w:t>
      </w:r>
      <w:r>
        <w:rPr>
          <w:spacing w:val="-24"/>
          <w:sz w:val="24"/>
        </w:rPr>
        <w:t> </w:t>
      </w:r>
      <w:r>
        <w:rPr>
          <w:sz w:val="24"/>
        </w:rPr>
        <w:t>2014;</w:t>
      </w:r>
    </w:p>
    <w:p>
      <w:pPr>
        <w:pStyle w:val="BodyText"/>
      </w:pPr>
    </w:p>
    <w:p>
      <w:pPr>
        <w:pStyle w:val="ListParagraph"/>
        <w:numPr>
          <w:ilvl w:val="0"/>
          <w:numId w:val="1"/>
        </w:numPr>
        <w:tabs>
          <w:tab w:pos="636" w:val="left" w:leader="none"/>
        </w:tabs>
        <w:spacing w:line="240" w:lineRule="auto" w:before="0" w:after="0"/>
        <w:ind w:left="395" w:right="706" w:firstLine="0"/>
        <w:jc w:val="left"/>
        <w:rPr>
          <w:sz w:val="24"/>
        </w:rPr>
      </w:pPr>
      <w:r>
        <w:rPr>
          <w:sz w:val="24"/>
        </w:rPr>
        <w:t>Lin SM, Zhi </w:t>
      </w:r>
      <w:r>
        <w:rPr>
          <w:spacing w:val="-16"/>
          <w:sz w:val="24"/>
        </w:rPr>
        <w:t>Y, </w:t>
      </w:r>
      <w:r>
        <w:rPr>
          <w:sz w:val="24"/>
        </w:rPr>
        <w:t>Ahn KB, Lim S, Seo HS. Status of group B streptococcal vaccine</w:t>
      </w:r>
      <w:r>
        <w:rPr>
          <w:spacing w:val="-29"/>
          <w:sz w:val="24"/>
        </w:rPr>
        <w:t> </w:t>
      </w:r>
      <w:r>
        <w:rPr>
          <w:sz w:val="24"/>
        </w:rPr>
        <w:t>development. Clin Exp </w:t>
      </w:r>
      <w:r>
        <w:rPr>
          <w:spacing w:val="-5"/>
          <w:sz w:val="24"/>
        </w:rPr>
        <w:t>Vaccine </w:t>
      </w:r>
      <w:r>
        <w:rPr>
          <w:sz w:val="24"/>
        </w:rPr>
        <w:t>Res [Internet]. 2018 Jan 1 [cited 2021 Nov</w:t>
      </w:r>
      <w:r>
        <w:rPr>
          <w:spacing w:val="-1"/>
          <w:sz w:val="24"/>
        </w:rPr>
        <w:t> </w:t>
      </w:r>
      <w:r>
        <w:rPr>
          <w:sz w:val="24"/>
        </w:rPr>
        <w:t>6];7(1):76.</w:t>
      </w:r>
    </w:p>
    <w:p>
      <w:pPr>
        <w:pStyle w:val="BodyText"/>
      </w:pPr>
    </w:p>
    <w:p>
      <w:pPr>
        <w:pStyle w:val="ListParagraph"/>
        <w:numPr>
          <w:ilvl w:val="0"/>
          <w:numId w:val="1"/>
        </w:numPr>
        <w:tabs>
          <w:tab w:pos="636" w:val="left" w:leader="none"/>
        </w:tabs>
        <w:spacing w:line="240" w:lineRule="auto" w:before="0" w:after="0"/>
        <w:ind w:left="395" w:right="798" w:firstLine="0"/>
        <w:jc w:val="left"/>
        <w:rPr>
          <w:sz w:val="24"/>
        </w:rPr>
      </w:pPr>
      <w:r>
        <w:rPr>
          <w:sz w:val="24"/>
        </w:rPr>
        <w:t>C</w:t>
      </w:r>
      <w:r>
        <w:rPr>
          <w:spacing w:val="-2"/>
          <w:sz w:val="24"/>
        </w:rPr>
        <w:t> </w:t>
      </w:r>
      <w:r>
        <w:rPr>
          <w:sz w:val="24"/>
        </w:rPr>
        <w:t>C-A,</w:t>
      </w:r>
      <w:r>
        <w:rPr>
          <w:spacing w:val="-1"/>
          <w:sz w:val="24"/>
        </w:rPr>
        <w:t> </w:t>
      </w:r>
      <w:r>
        <w:rPr>
          <w:sz w:val="24"/>
        </w:rPr>
        <w:t>L</w:t>
      </w:r>
      <w:r>
        <w:rPr>
          <w:spacing w:val="-10"/>
          <w:sz w:val="24"/>
        </w:rPr>
        <w:t> </w:t>
      </w:r>
      <w:r>
        <w:rPr>
          <w:sz w:val="24"/>
        </w:rPr>
        <w:t>R,</w:t>
      </w:r>
      <w:r>
        <w:rPr>
          <w:spacing w:val="-2"/>
          <w:sz w:val="24"/>
        </w:rPr>
        <w:t> </w:t>
      </w:r>
      <w:r>
        <w:rPr>
          <w:sz w:val="24"/>
        </w:rPr>
        <w:t>PT</w:t>
      </w:r>
      <w:r>
        <w:rPr>
          <w:spacing w:val="-6"/>
          <w:sz w:val="24"/>
        </w:rPr>
        <w:t> </w:t>
      </w:r>
      <w:r>
        <w:rPr>
          <w:sz w:val="24"/>
        </w:rPr>
        <w:t>H,</w:t>
      </w:r>
      <w:r>
        <w:rPr>
          <w:spacing w:val="-1"/>
          <w:sz w:val="24"/>
        </w:rPr>
        <w:t> </w:t>
      </w:r>
      <w:r>
        <w:rPr>
          <w:sz w:val="24"/>
        </w:rPr>
        <w:t>K</w:t>
      </w:r>
      <w:r>
        <w:rPr>
          <w:spacing w:val="-1"/>
          <w:sz w:val="24"/>
        </w:rPr>
        <w:t> </w:t>
      </w:r>
      <w:r>
        <w:rPr>
          <w:sz w:val="24"/>
        </w:rPr>
        <w:t>LD.</w:t>
      </w:r>
      <w:r>
        <w:rPr>
          <w:spacing w:val="-15"/>
          <w:sz w:val="24"/>
        </w:rPr>
        <w:t> </w:t>
      </w:r>
      <w:r>
        <w:rPr>
          <w:sz w:val="24"/>
        </w:rPr>
        <w:t>A</w:t>
      </w:r>
      <w:r>
        <w:rPr>
          <w:spacing w:val="-19"/>
          <w:sz w:val="24"/>
        </w:rPr>
        <w:t> </w:t>
      </w:r>
      <w:r>
        <w:rPr>
          <w:spacing w:val="-5"/>
          <w:sz w:val="24"/>
        </w:rPr>
        <w:t>Vaccine</w:t>
      </w:r>
      <w:r>
        <w:rPr>
          <w:spacing w:val="-13"/>
          <w:sz w:val="24"/>
        </w:rPr>
        <w:t> </w:t>
      </w:r>
      <w:r>
        <w:rPr>
          <w:sz w:val="24"/>
        </w:rPr>
        <w:t>Against</w:t>
      </w:r>
      <w:r>
        <w:rPr>
          <w:spacing w:val="-2"/>
          <w:sz w:val="24"/>
        </w:rPr>
        <w:t> </w:t>
      </w:r>
      <w:r>
        <w:rPr>
          <w:sz w:val="24"/>
        </w:rPr>
        <w:t>Group</w:t>
      </w:r>
      <w:r>
        <w:rPr>
          <w:spacing w:val="-1"/>
          <w:sz w:val="24"/>
        </w:rPr>
        <w:t> </w:t>
      </w:r>
      <w:r>
        <w:rPr>
          <w:sz w:val="24"/>
        </w:rPr>
        <w:t>B</w:t>
      </w:r>
      <w:r>
        <w:rPr>
          <w:spacing w:val="-2"/>
          <w:sz w:val="24"/>
        </w:rPr>
        <w:t> </w:t>
      </w:r>
      <w:r>
        <w:rPr>
          <w:sz w:val="24"/>
        </w:rPr>
        <w:t>Streptococcus:</w:t>
      </w:r>
      <w:r>
        <w:rPr>
          <w:spacing w:val="-2"/>
          <w:sz w:val="24"/>
        </w:rPr>
        <w:t> </w:t>
      </w:r>
      <w:r>
        <w:rPr>
          <w:sz w:val="24"/>
        </w:rPr>
        <w:t>Recent</w:t>
      </w:r>
      <w:r>
        <w:rPr>
          <w:spacing w:val="-14"/>
          <w:sz w:val="24"/>
        </w:rPr>
        <w:t> </w:t>
      </w:r>
      <w:r>
        <w:rPr>
          <w:sz w:val="24"/>
        </w:rPr>
        <w:t>Advances.</w:t>
      </w:r>
      <w:r>
        <w:rPr>
          <w:spacing w:val="-1"/>
          <w:sz w:val="24"/>
        </w:rPr>
        <w:t> </w:t>
      </w:r>
      <w:r>
        <w:rPr>
          <w:sz w:val="24"/>
        </w:rPr>
        <w:t>Infect Drug Resist [Internet]. 2020 [cited 2021 Nov 7];13:1263–72.</w:t>
      </w:r>
    </w:p>
    <w:p>
      <w:pPr>
        <w:pStyle w:val="BodyText"/>
      </w:pPr>
    </w:p>
    <w:p>
      <w:pPr>
        <w:pStyle w:val="ListParagraph"/>
        <w:numPr>
          <w:ilvl w:val="0"/>
          <w:numId w:val="1"/>
        </w:numPr>
        <w:tabs>
          <w:tab w:pos="636" w:val="left" w:leader="none"/>
        </w:tabs>
        <w:spacing w:line="240" w:lineRule="auto" w:before="0" w:after="0"/>
        <w:ind w:left="395" w:right="477" w:firstLine="0"/>
        <w:jc w:val="left"/>
        <w:rPr>
          <w:sz w:val="24"/>
        </w:rPr>
      </w:pPr>
      <w:r>
        <w:rPr>
          <w:sz w:val="24"/>
        </w:rPr>
        <w:t>G L-R, Z B, C M, A A, F DB, L G, et al. Safety and Immunogenicity of a Second Dose of an Investigational Maternal Trivalent Group B Streptococcus </w:t>
      </w:r>
      <w:r>
        <w:rPr>
          <w:spacing w:val="-5"/>
          <w:sz w:val="24"/>
        </w:rPr>
        <w:t>Vaccine </w:t>
      </w:r>
      <w:r>
        <w:rPr>
          <w:sz w:val="24"/>
        </w:rPr>
        <w:t>in Nonpregnant </w:t>
      </w:r>
      <w:r>
        <w:rPr>
          <w:spacing w:val="-5"/>
          <w:sz w:val="24"/>
        </w:rPr>
        <w:t>Women </w:t>
      </w:r>
      <w:r>
        <w:rPr>
          <w:sz w:val="24"/>
        </w:rPr>
        <w:t>4-6 </w:t>
      </w:r>
      <w:r>
        <w:rPr>
          <w:spacing w:val="-6"/>
          <w:sz w:val="24"/>
        </w:rPr>
        <w:t>Years </w:t>
      </w:r>
      <w:r>
        <w:rPr>
          <w:sz w:val="24"/>
        </w:rPr>
        <w:t>After a First Dose: Results From a Phase 2 </w:t>
      </w:r>
      <w:r>
        <w:rPr>
          <w:spacing w:val="-2"/>
          <w:sz w:val="24"/>
        </w:rPr>
        <w:t>Trial. </w:t>
      </w:r>
      <w:r>
        <w:rPr>
          <w:sz w:val="24"/>
        </w:rPr>
        <w:t>Clin Infect Dis [Internet]. 2020 Jun 15 [cited 2021 Nov</w:t>
      </w:r>
      <w:r>
        <w:rPr>
          <w:spacing w:val="-1"/>
          <w:sz w:val="24"/>
        </w:rPr>
        <w:t> </w:t>
      </w:r>
      <w:r>
        <w:rPr>
          <w:sz w:val="24"/>
        </w:rPr>
        <w:t>7];70(12):2570–9.</w:t>
      </w:r>
    </w:p>
    <w:p>
      <w:pPr>
        <w:pStyle w:val="BodyText"/>
      </w:pPr>
    </w:p>
    <w:p>
      <w:pPr>
        <w:pStyle w:val="ListParagraph"/>
        <w:numPr>
          <w:ilvl w:val="0"/>
          <w:numId w:val="1"/>
        </w:numPr>
        <w:tabs>
          <w:tab w:pos="636" w:val="left" w:leader="none"/>
        </w:tabs>
        <w:spacing w:line="240" w:lineRule="auto" w:before="1" w:after="0"/>
        <w:ind w:left="395" w:right="604" w:firstLine="0"/>
        <w:jc w:val="left"/>
        <w:rPr>
          <w:sz w:val="24"/>
        </w:rPr>
      </w:pPr>
      <w:r>
        <w:rPr>
          <w:sz w:val="24"/>
        </w:rPr>
        <w:t>Buurman </w:t>
      </w:r>
      <w:r>
        <w:rPr>
          <w:spacing w:val="-6"/>
          <w:sz w:val="24"/>
        </w:rPr>
        <w:t>ET, </w:t>
      </w:r>
      <w:r>
        <w:rPr>
          <w:sz w:val="24"/>
        </w:rPr>
        <w:t>Timofeyeva </w:t>
      </w:r>
      <w:r>
        <w:rPr>
          <w:spacing w:val="-16"/>
          <w:sz w:val="24"/>
        </w:rPr>
        <w:t>Y, </w:t>
      </w:r>
      <w:r>
        <w:rPr>
          <w:sz w:val="24"/>
        </w:rPr>
        <w:t>Gu J, Kim JH, Kodali S, Liu </w:t>
      </w:r>
      <w:r>
        <w:rPr>
          <w:spacing w:val="-16"/>
          <w:sz w:val="24"/>
        </w:rPr>
        <w:t>Y, </w:t>
      </w:r>
      <w:r>
        <w:rPr>
          <w:sz w:val="24"/>
        </w:rPr>
        <w:t>et al. A</w:t>
      </w:r>
      <w:r>
        <w:rPr>
          <w:spacing w:val="-47"/>
          <w:sz w:val="24"/>
        </w:rPr>
        <w:t> </w:t>
      </w:r>
      <w:r>
        <w:rPr>
          <w:sz w:val="24"/>
        </w:rPr>
        <w:t>Novel Hexavalent Capsular Polysaccharide Conjugate </w:t>
      </w:r>
      <w:r>
        <w:rPr>
          <w:spacing w:val="-5"/>
          <w:sz w:val="24"/>
        </w:rPr>
        <w:t>Vaccine </w:t>
      </w:r>
      <w:r>
        <w:rPr>
          <w:sz w:val="24"/>
        </w:rPr>
        <w:t>(GBS6) for the Prevention of Neonatal Group B Streptococcal Infections by Maternal Immunization. J Infect Dis [Internet]. 2019 Jun 5 [cited 2021 Nov 7];220(1):105–15.</w:t>
      </w:r>
    </w:p>
    <w:p>
      <w:pPr>
        <w:pStyle w:val="BodyText"/>
      </w:pPr>
    </w:p>
    <w:p>
      <w:pPr>
        <w:pStyle w:val="ListParagraph"/>
        <w:numPr>
          <w:ilvl w:val="0"/>
          <w:numId w:val="1"/>
        </w:numPr>
        <w:tabs>
          <w:tab w:pos="756" w:val="left" w:leader="none"/>
        </w:tabs>
        <w:spacing w:line="240" w:lineRule="auto" w:before="0" w:after="0"/>
        <w:ind w:left="395" w:right="611" w:firstLine="0"/>
        <w:jc w:val="left"/>
        <w:rPr>
          <w:sz w:val="24"/>
        </w:rPr>
      </w:pPr>
      <w:r>
        <w:rPr>
          <w:sz w:val="24"/>
        </w:rPr>
        <w:t>SL H, P </w:t>
      </w:r>
      <w:r>
        <w:rPr>
          <w:spacing w:val="-10"/>
          <w:sz w:val="24"/>
        </w:rPr>
        <w:t>F, </w:t>
      </w:r>
      <w:r>
        <w:rPr>
          <w:sz w:val="24"/>
        </w:rPr>
        <w:t>MS E, M E, D </w:t>
      </w:r>
      <w:r>
        <w:rPr>
          <w:spacing w:val="-10"/>
          <w:sz w:val="24"/>
        </w:rPr>
        <w:t>F, </w:t>
      </w:r>
      <w:r>
        <w:rPr>
          <w:sz w:val="24"/>
        </w:rPr>
        <w:t>P </w:t>
      </w:r>
      <w:r>
        <w:rPr>
          <w:spacing w:val="-10"/>
          <w:sz w:val="24"/>
        </w:rPr>
        <w:t>F, </w:t>
      </w:r>
      <w:r>
        <w:rPr>
          <w:sz w:val="24"/>
        </w:rPr>
        <w:t>et al. A Phase 2, Randomized, Control </w:t>
      </w:r>
      <w:r>
        <w:rPr>
          <w:spacing w:val="-3"/>
          <w:sz w:val="24"/>
        </w:rPr>
        <w:t>Trial </w:t>
      </w:r>
      <w:r>
        <w:rPr>
          <w:sz w:val="24"/>
        </w:rPr>
        <w:t>of Group B Streptococcus (GBS) </w:t>
      </w:r>
      <w:r>
        <w:rPr>
          <w:spacing w:val="-5"/>
          <w:sz w:val="24"/>
        </w:rPr>
        <w:t>Type </w:t>
      </w:r>
      <w:r>
        <w:rPr>
          <w:sz w:val="24"/>
        </w:rPr>
        <w:t>III Capsular Polysaccharide-tetanus </w:t>
      </w:r>
      <w:r>
        <w:rPr>
          <w:spacing w:val="-3"/>
          <w:sz w:val="24"/>
        </w:rPr>
        <w:t>Toxoid </w:t>
      </w:r>
      <w:r>
        <w:rPr>
          <w:sz w:val="24"/>
        </w:rPr>
        <w:t>(GBS III-TT) </w:t>
      </w:r>
      <w:r>
        <w:rPr>
          <w:spacing w:val="-5"/>
          <w:sz w:val="24"/>
        </w:rPr>
        <w:t>Vaccine </w:t>
      </w:r>
      <w:r>
        <w:rPr>
          <w:sz w:val="24"/>
        </w:rPr>
        <w:t>to Prevent </w:t>
      </w:r>
      <w:r>
        <w:rPr>
          <w:spacing w:val="-5"/>
          <w:sz w:val="24"/>
        </w:rPr>
        <w:t>Vaginal </w:t>
      </w:r>
      <w:r>
        <w:rPr>
          <w:sz w:val="24"/>
        </w:rPr>
        <w:t>Colonization </w:t>
      </w:r>
      <w:r>
        <w:rPr>
          <w:spacing w:val="-3"/>
          <w:sz w:val="24"/>
        </w:rPr>
        <w:t>With </w:t>
      </w:r>
      <w:r>
        <w:rPr>
          <w:sz w:val="24"/>
        </w:rPr>
        <w:t>GBS III. Clin Infect Dis [Internet]. 2019 Jun 1 [cited 2021 Nov 4];68(12):2079–86.</w:t>
      </w:r>
    </w:p>
    <w:p>
      <w:pPr>
        <w:pStyle w:val="BodyText"/>
      </w:pPr>
    </w:p>
    <w:p>
      <w:pPr>
        <w:pStyle w:val="ListParagraph"/>
        <w:numPr>
          <w:ilvl w:val="0"/>
          <w:numId w:val="1"/>
        </w:numPr>
        <w:tabs>
          <w:tab w:pos="734" w:val="left" w:leader="none"/>
        </w:tabs>
        <w:spacing w:line="240" w:lineRule="auto" w:before="0" w:after="0"/>
        <w:ind w:left="395" w:right="847" w:firstLine="0"/>
        <w:jc w:val="left"/>
        <w:rPr>
          <w:sz w:val="24"/>
        </w:rPr>
      </w:pPr>
      <w:r>
        <w:rPr>
          <w:sz w:val="24"/>
        </w:rPr>
        <w:t>Absalon J, Segall N, Block SL, Center KJ, Scully IL, Giardina PC, et al. Safety and immunogenicity of a novel hexavalent group B streptococcus conjugate vaccine in </w:t>
      </w:r>
      <w:r>
        <w:rPr>
          <w:spacing w:val="-3"/>
          <w:sz w:val="24"/>
        </w:rPr>
        <w:t>healthy, </w:t>
      </w:r>
      <w:r>
        <w:rPr>
          <w:sz w:val="24"/>
        </w:rPr>
        <w:t>non- pregnant adults: a phase 1/2, randomised, placebo-controlled, observer-blinded, dose-escalation trial. Lancet Infect Dis [Internet]. 2021 Feb 1 [cited 2021 Nov</w:t>
      </w:r>
      <w:r>
        <w:rPr>
          <w:spacing w:val="-6"/>
          <w:sz w:val="24"/>
        </w:rPr>
        <w:t> </w:t>
      </w:r>
      <w:r>
        <w:rPr>
          <w:sz w:val="24"/>
        </w:rPr>
        <w:t>7];21(2):263–74.</w:t>
      </w:r>
    </w:p>
    <w:sectPr>
      <w:pgSz w:w="11910" w:h="16840"/>
      <w:pgMar w:top="1040" w:bottom="280" w:left="740" w:right="6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Liberation Serif">
    <w:altName w:val="Liberation Serif"/>
    <w:charset w:val="0"/>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396" w:hanging="240"/>
        <w:jc w:val="left"/>
      </w:pPr>
      <w:rPr>
        <w:rFonts w:hint="default" w:ascii="Liberation Serif" w:hAnsi="Liberation Serif" w:eastAsia="Liberation Serif" w:cs="Liberation Serif"/>
        <w:spacing w:val="-32"/>
        <w:w w:val="100"/>
        <w:sz w:val="24"/>
        <w:szCs w:val="24"/>
        <w:lang w:val="en-US" w:eastAsia="en-US" w:bidi="ar-SA"/>
      </w:rPr>
    </w:lvl>
    <w:lvl w:ilvl="1">
      <w:start w:val="0"/>
      <w:numFmt w:val="bullet"/>
      <w:lvlText w:val="•"/>
      <w:lvlJc w:val="left"/>
      <w:pPr>
        <w:ind w:left="1408" w:hanging="240"/>
      </w:pPr>
      <w:rPr>
        <w:rFonts w:hint="default"/>
        <w:lang w:val="en-US" w:eastAsia="en-US" w:bidi="ar-SA"/>
      </w:rPr>
    </w:lvl>
    <w:lvl w:ilvl="2">
      <w:start w:val="0"/>
      <w:numFmt w:val="bullet"/>
      <w:lvlText w:val="•"/>
      <w:lvlJc w:val="left"/>
      <w:pPr>
        <w:ind w:left="2417" w:hanging="240"/>
      </w:pPr>
      <w:rPr>
        <w:rFonts w:hint="default"/>
        <w:lang w:val="en-US" w:eastAsia="en-US" w:bidi="ar-SA"/>
      </w:rPr>
    </w:lvl>
    <w:lvl w:ilvl="3">
      <w:start w:val="0"/>
      <w:numFmt w:val="bullet"/>
      <w:lvlText w:val="•"/>
      <w:lvlJc w:val="left"/>
      <w:pPr>
        <w:ind w:left="3425" w:hanging="240"/>
      </w:pPr>
      <w:rPr>
        <w:rFonts w:hint="default"/>
        <w:lang w:val="en-US" w:eastAsia="en-US" w:bidi="ar-SA"/>
      </w:rPr>
    </w:lvl>
    <w:lvl w:ilvl="4">
      <w:start w:val="0"/>
      <w:numFmt w:val="bullet"/>
      <w:lvlText w:val="•"/>
      <w:lvlJc w:val="left"/>
      <w:pPr>
        <w:ind w:left="4434" w:hanging="240"/>
      </w:pPr>
      <w:rPr>
        <w:rFonts w:hint="default"/>
        <w:lang w:val="en-US" w:eastAsia="en-US" w:bidi="ar-SA"/>
      </w:rPr>
    </w:lvl>
    <w:lvl w:ilvl="5">
      <w:start w:val="0"/>
      <w:numFmt w:val="bullet"/>
      <w:lvlText w:val="•"/>
      <w:lvlJc w:val="left"/>
      <w:pPr>
        <w:ind w:left="5443" w:hanging="240"/>
      </w:pPr>
      <w:rPr>
        <w:rFonts w:hint="default"/>
        <w:lang w:val="en-US" w:eastAsia="en-US" w:bidi="ar-SA"/>
      </w:rPr>
    </w:lvl>
    <w:lvl w:ilvl="6">
      <w:start w:val="0"/>
      <w:numFmt w:val="bullet"/>
      <w:lvlText w:val="•"/>
      <w:lvlJc w:val="left"/>
      <w:pPr>
        <w:ind w:left="6451" w:hanging="240"/>
      </w:pPr>
      <w:rPr>
        <w:rFonts w:hint="default"/>
        <w:lang w:val="en-US" w:eastAsia="en-US" w:bidi="ar-SA"/>
      </w:rPr>
    </w:lvl>
    <w:lvl w:ilvl="7">
      <w:start w:val="0"/>
      <w:numFmt w:val="bullet"/>
      <w:lvlText w:val="•"/>
      <w:lvlJc w:val="left"/>
      <w:pPr>
        <w:ind w:left="7460" w:hanging="240"/>
      </w:pPr>
      <w:rPr>
        <w:rFonts w:hint="default"/>
        <w:lang w:val="en-US" w:eastAsia="en-US" w:bidi="ar-SA"/>
      </w:rPr>
    </w:lvl>
    <w:lvl w:ilvl="8">
      <w:start w:val="0"/>
      <w:numFmt w:val="bullet"/>
      <w:lvlText w:val="•"/>
      <w:lvlJc w:val="left"/>
      <w:pPr>
        <w:ind w:left="8468" w:hanging="24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Liberation Serif" w:hAnsi="Liberation Serif" w:eastAsia="Liberation Serif" w:cs="Liberation Serif"/>
      <w:lang w:val="en-US" w:eastAsia="en-US" w:bidi="ar-SA"/>
    </w:rPr>
  </w:style>
  <w:style w:styleId="BodyText" w:type="paragraph">
    <w:name w:val="Body Text"/>
    <w:basedOn w:val="Normal"/>
    <w:uiPriority w:val="1"/>
    <w:qFormat/>
    <w:pPr/>
    <w:rPr>
      <w:rFonts w:ascii="Liberation Serif" w:hAnsi="Liberation Serif" w:eastAsia="Liberation Serif" w:cs="Liberation Serif"/>
      <w:sz w:val="24"/>
      <w:szCs w:val="24"/>
      <w:lang w:val="en-US" w:eastAsia="en-US" w:bidi="ar-SA"/>
    </w:rPr>
  </w:style>
  <w:style w:styleId="Title" w:type="paragraph">
    <w:name w:val="Title"/>
    <w:basedOn w:val="Normal"/>
    <w:uiPriority w:val="1"/>
    <w:qFormat/>
    <w:pPr>
      <w:spacing w:before="87"/>
      <w:ind w:left="1388" w:right="2007"/>
      <w:jc w:val="center"/>
    </w:pPr>
    <w:rPr>
      <w:rFonts w:ascii="Liberation Serif" w:hAnsi="Liberation Serif" w:eastAsia="Liberation Serif" w:cs="Liberation Serif"/>
      <w:b/>
      <w:bCs/>
      <w:sz w:val="30"/>
      <w:szCs w:val="30"/>
      <w:lang w:val="en-US" w:eastAsia="en-US" w:bidi="ar-SA"/>
    </w:rPr>
  </w:style>
  <w:style w:styleId="ListParagraph" w:type="paragraph">
    <w:name w:val="List Paragraph"/>
    <w:basedOn w:val="Normal"/>
    <w:uiPriority w:val="1"/>
    <w:qFormat/>
    <w:pPr>
      <w:ind w:left="395" w:right="463"/>
    </w:pPr>
    <w:rPr>
      <w:rFonts w:ascii="Liberation Serif" w:hAnsi="Liberation Serif" w:eastAsia="Liberation Serif" w:cs="Liberation Serif"/>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2022-07-06T04:44:17Z</dcterms:created>
  <dcterms:modified xsi:type="dcterms:W3CDTF">2022-07-06T04:44:17Z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2022-07-05T00:00:00Z</vt:filetime>
  </property>
  <property fmtid="{D5CDD505-2E9C-101B-9397-08002B2CF9AE}" pid="3" name="Creator">
    <vt:lpwstr>Writer</vt:lpwstr>
  </property>
  <property fmtid="{D5CDD505-2E9C-101B-9397-08002B2CF9AE}" pid="4" name="LastSaved">
    <vt:filetime>2022-07-06T00:00:00Z</vt:filetime>
  </property>
</Properties>
</file>