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66FD3" w:rsidP="000534A1">
      <w:pPr>
        <w:pStyle w:val="Heading1"/>
        <w:spacing w:before="170"/>
        <w:ind w:left="0"/>
        <w:jc w:val="both"/>
      </w:pPr>
      <w:bookmarkStart w:id="0" w:name="_GoBack"/>
      <w:bookmarkEnd w:id="0"/>
      <w:r>
        <w:t xml:space="preserve">Investigation of the Role of </w:t>
      </w:r>
      <w:proofErr w:type="spellStart"/>
      <w:r>
        <w:t>Leuconostoc</w:t>
      </w:r>
      <w:proofErr w:type="spellEnd"/>
      <w:r>
        <w:t xml:space="preserve"> </w:t>
      </w:r>
      <w:proofErr w:type="spellStart"/>
      <w:r>
        <w:t>mesenteroides</w:t>
      </w:r>
      <w:proofErr w:type="spellEnd"/>
      <w:r>
        <w:t xml:space="preserve"> subsp. </w:t>
      </w:r>
      <w:proofErr w:type="spellStart"/>
      <w:r>
        <w:t>cremoris</w:t>
      </w:r>
      <w:proofErr w:type="spellEnd"/>
      <w:r>
        <w:t xml:space="preserve"> in Periodontitis around Abutments of Fixed Prostheses</w:t>
      </w:r>
      <w:r>
        <w:rPr>
          <w:color w:val="337AB7"/>
        </w:rPr>
        <w:t>.</w:t>
      </w:r>
    </w:p>
    <w:p w:rsidR="005973B9" w:rsidRPr="00D17AF7" w:rsidRDefault="009C6368" w:rsidP="005973B9">
      <w:pPr>
        <w:pStyle w:val="BodyText"/>
        <w:spacing w:before="73" w:line="198" w:lineRule="exact"/>
        <w:ind w:left="100" w:right="5987"/>
        <w:rPr>
          <w:rFonts w:ascii="Arial"/>
          <w:sz w:val="16"/>
        </w:rPr>
      </w:pPr>
      <w:r w:rsidRPr="00D17AF7">
        <w:rPr>
          <w:rFonts w:ascii="Arial"/>
          <w:sz w:val="16"/>
        </w:rPr>
        <w:t xml:space="preserve">Mequanint </w:t>
      </w:r>
      <w:proofErr w:type="spellStart"/>
      <w:r w:rsidRPr="00D17AF7">
        <w:rPr>
          <w:rFonts w:ascii="Arial"/>
          <w:sz w:val="16"/>
        </w:rPr>
        <w:t>Birhan</w:t>
      </w:r>
      <w:proofErr w:type="spellEnd"/>
      <w:r w:rsidRPr="00D17AF7">
        <w:rPr>
          <w:rFonts w:ascii="Arial"/>
          <w:sz w:val="16"/>
        </w:rPr>
        <w:t xml:space="preserve"> MSc &amp; MBA, Mizan Tepi University, Ethiopia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E7E7B" w:rsidRDefault="00A9710C">
      <w:pPr>
        <w:pStyle w:val="BodyText"/>
        <w:spacing w:before="90" w:line="280" w:lineRule="auto"/>
        <w:ind w:left="100"/>
        <w:jc w:val="both"/>
      </w:pPr>
      <w:r w:rsidRPr="008E7E7B">
        <w:rPr>
          <w:b/>
        </w:rPr>
        <w:t>Statement of the Problem</w:t>
      </w:r>
      <w:r>
        <w:t xml:space="preserve">: </w:t>
      </w:r>
      <w:r w:rsidR="00E66FD3">
        <w:t xml:space="preserve">This study included the role of </w:t>
      </w:r>
      <w:proofErr w:type="spellStart"/>
      <w:r w:rsidR="00E66FD3">
        <w:t>Leuconostoc</w:t>
      </w:r>
      <w:proofErr w:type="spellEnd"/>
      <w:r w:rsidR="00E66FD3">
        <w:t xml:space="preserve"> </w:t>
      </w:r>
      <w:proofErr w:type="spellStart"/>
      <w:r w:rsidR="00E66FD3">
        <w:t>mesenteroides</w:t>
      </w:r>
      <w:proofErr w:type="spellEnd"/>
      <w:r w:rsidR="00E66FD3">
        <w:t xml:space="preserve"> subsp. </w:t>
      </w:r>
      <w:proofErr w:type="spellStart"/>
      <w:r w:rsidR="00E66FD3">
        <w:t>cremoris</w:t>
      </w:r>
      <w:proofErr w:type="spellEnd"/>
      <w:r w:rsidR="00E66FD3">
        <w:t xml:space="preserve"> in oral diseases such as periodontitis.</w:t>
      </w:r>
    </w:p>
    <w:p w:rsidR="008E7E7B" w:rsidRDefault="00A9710C">
      <w:pPr>
        <w:pStyle w:val="BodyText"/>
        <w:spacing w:before="90" w:line="280" w:lineRule="auto"/>
        <w:ind w:left="100"/>
        <w:jc w:val="both"/>
      </w:pPr>
      <w:r w:rsidRPr="008E7E7B">
        <w:rPr>
          <w:b/>
        </w:rPr>
        <w:t>The purpose</w:t>
      </w:r>
      <w:r>
        <w:t xml:space="preserve"> of this study is to</w:t>
      </w:r>
      <w:r w:rsidR="00404E5B">
        <w:t xml:space="preserve"> </w:t>
      </w:r>
      <w:r>
        <w:t xml:space="preserve">describe the experience of seeking help for alcohol dependency by women with PTSD and a history of IPV in the context in which it occurs. </w:t>
      </w:r>
    </w:p>
    <w:p w:rsidR="0070716F" w:rsidRDefault="00A9710C">
      <w:pPr>
        <w:pStyle w:val="BodyText"/>
        <w:spacing w:before="90" w:line="280" w:lineRule="auto"/>
        <w:ind w:left="100"/>
        <w:jc w:val="both"/>
      </w:pPr>
      <w:r w:rsidRPr="008E7E7B">
        <w:rPr>
          <w:b/>
        </w:rPr>
        <w:t>Methodolog</w:t>
      </w:r>
      <w:r w:rsidR="008756E6" w:rsidRPr="008E7E7B">
        <w:rPr>
          <w:b/>
        </w:rPr>
        <w:t>y &amp; Theoretical Orientation</w:t>
      </w:r>
      <w:r w:rsidR="008E7E7B">
        <w:t xml:space="preserve">: </w:t>
      </w:r>
      <w:r w:rsidR="0070716F">
        <w:t xml:space="preserve">Isolation and identification of </w:t>
      </w:r>
      <w:proofErr w:type="spellStart"/>
      <w:r w:rsidR="0070716F">
        <w:t>Leuconostoc</w:t>
      </w:r>
      <w:proofErr w:type="spellEnd"/>
      <w:r w:rsidR="0070716F">
        <w:t xml:space="preserve"> </w:t>
      </w:r>
      <w:proofErr w:type="spellStart"/>
      <w:r w:rsidR="0070716F">
        <w:t>mesenteroides</w:t>
      </w:r>
      <w:proofErr w:type="spellEnd"/>
      <w:r w:rsidR="0070716F">
        <w:t xml:space="preserve"> subsp. </w:t>
      </w:r>
      <w:proofErr w:type="spellStart"/>
      <w:r w:rsidR="0070716F">
        <w:t>cremoris</w:t>
      </w:r>
      <w:proofErr w:type="spellEnd"/>
      <w:r w:rsidR="0070716F">
        <w:t xml:space="preserve"> from a saliva sample of twenty patients wearing fixed dental prostheses suffering from periodontitis followed by estimating susceptibility generally to the most common antibiotics and specifically to </w:t>
      </w:r>
      <w:proofErr w:type="spellStart"/>
      <w:r w:rsidR="0070716F">
        <w:t>chlorhexidine</w:t>
      </w:r>
      <w:proofErr w:type="spellEnd"/>
      <w:r w:rsidR="0070716F">
        <w:t xml:space="preserve"> (CHX) to determine the MIC of CHX and also screening of the strength of biofilm production under aerobic and anaerobic conditions; here, the study included six groups: Group I: screening of biofilm formation under aerobic condition, Group II: screening the MIC of CHX effect on biofilm formation under aerobic condition, Group III: screening of the MIC of CHX effect on preformed biofilm under aerobic condition, Group IV: screening of biofilm formation under anaerobic condition, Group V: screening of MIC of CHX effect on biofilm formation under anaerobic condition, and Group VI: screening of MIC of CHX effect on preformed biofilm under anaerobic condition.</w:t>
      </w:r>
    </w:p>
    <w:p w:rsidR="008E7E7B" w:rsidRDefault="00A9710C">
      <w:pPr>
        <w:pStyle w:val="BodyText"/>
        <w:spacing w:before="90" w:line="280" w:lineRule="auto"/>
        <w:ind w:left="100"/>
        <w:jc w:val="both"/>
      </w:pPr>
      <w:r w:rsidRPr="008E7E7B">
        <w:rPr>
          <w:b/>
        </w:rPr>
        <w:t>Findings</w:t>
      </w:r>
      <w:r>
        <w:t xml:space="preserve">: </w:t>
      </w:r>
      <w:r w:rsidR="0070716F">
        <w:t xml:space="preserve">The results showed that about 5 (25%) isolates were identified as L. </w:t>
      </w:r>
      <w:proofErr w:type="spellStart"/>
      <w:r w:rsidR="0070716F">
        <w:t>mesenteroides</w:t>
      </w:r>
      <w:proofErr w:type="spellEnd"/>
      <w:r w:rsidR="0070716F">
        <w:t xml:space="preserve"> subsp. </w:t>
      </w:r>
      <w:proofErr w:type="spellStart"/>
      <w:r w:rsidR="0070716F">
        <w:t>cremoris</w:t>
      </w:r>
      <w:proofErr w:type="spellEnd"/>
      <w:r w:rsidR="0070716F">
        <w:t xml:space="preserve">, while 75% are other isolates. Furthermore, susceptibility results to antibiotic showed the sensitivity to penicillin (100%), azithromycin (100%), ciprofloxacin (100%), tetracycline (100%), gentamicin (100%), doxycycline (100%), </w:t>
      </w:r>
      <w:proofErr w:type="spellStart"/>
      <w:r w:rsidR="0070716F">
        <w:t>vancomycin</w:t>
      </w:r>
      <w:proofErr w:type="spellEnd"/>
      <w:r w:rsidR="0070716F">
        <w:t xml:space="preserve"> (100%), </w:t>
      </w:r>
      <w:proofErr w:type="spellStart"/>
      <w:r w:rsidR="0070716F">
        <w:t>ofloxacin</w:t>
      </w:r>
      <w:proofErr w:type="spellEnd"/>
      <w:r w:rsidR="0070716F">
        <w:t xml:space="preserve"> (60%), chloramphenicol (80%), ampicillin (80%), and </w:t>
      </w:r>
      <w:proofErr w:type="spellStart"/>
      <w:r w:rsidR="0070716F">
        <w:t>cefoxitin</w:t>
      </w:r>
      <w:proofErr w:type="spellEnd"/>
      <w:r w:rsidR="0070716F">
        <w:t xml:space="preserve"> (60%). On the other side, the biofilm production assays revealed that all isolates were moderate biofilm former under the aerobic and anaerobic conditions but for the biofilm treated with MIC of CHX, the current study noticed that the strength of the biofilm became weaker in aerobic and anaerobic conditions; regardless, the strength of the biofilm under anaerobic conditions was higher than in that under aerobic conditions, with no significant differences at p ≤ 0:05 depending on the statistical analysis (T-test) before and after the treatment with MIC of CHX in aerobic and anaerobic conditions.</w:t>
      </w:r>
    </w:p>
    <w:p w:rsidR="008E7E7B" w:rsidRDefault="00A9710C">
      <w:pPr>
        <w:pStyle w:val="BodyText"/>
        <w:spacing w:before="90" w:line="280" w:lineRule="auto"/>
        <w:ind w:left="100"/>
        <w:jc w:val="both"/>
      </w:pPr>
      <w:r w:rsidRPr="008E7E7B">
        <w:rPr>
          <w:b/>
        </w:rPr>
        <w:t>Conclusion &amp; Significance</w:t>
      </w:r>
      <w:r>
        <w:t xml:space="preserve">: </w:t>
      </w:r>
      <w:r w:rsidR="0070716F">
        <w:t xml:space="preserve">The presence of </w:t>
      </w:r>
      <w:proofErr w:type="spellStart"/>
      <w:r w:rsidR="0070716F">
        <w:t>mesenteroides</w:t>
      </w:r>
      <w:proofErr w:type="spellEnd"/>
      <w:r w:rsidR="0070716F">
        <w:t xml:space="preserve"> subsp. </w:t>
      </w:r>
      <w:proofErr w:type="spellStart"/>
      <w:r w:rsidR="0070716F">
        <w:t>cremoris</w:t>
      </w:r>
      <w:proofErr w:type="spellEnd"/>
      <w:r w:rsidR="0070716F">
        <w:t xml:space="preserve"> in the oral cavity is due to eating foods and vegetables; based on the strength of the biofilm and sensitivity tests, the isolates have less pathogenicity in the oral cavity due to the weakness of the biofilm production and the lack of resistance to antibiotics.</w:t>
      </w:r>
    </w:p>
    <w:p w:rsidR="00AE3E37" w:rsidRDefault="00A9710C">
      <w:pPr>
        <w:pStyle w:val="BodyText"/>
        <w:spacing w:before="90" w:line="280" w:lineRule="auto"/>
        <w:ind w:left="100"/>
        <w:jc w:val="both"/>
      </w:pPr>
      <w:r w:rsidRPr="008E7E7B">
        <w:rPr>
          <w:b/>
        </w:rPr>
        <w:t>Recommendations</w:t>
      </w:r>
      <w:r>
        <w:t xml:space="preserve"> are made for treatment centers to become trauma- informed that would help this</w:t>
      </w:r>
      <w:r w:rsidR="00404E5B">
        <w:t xml:space="preserve"> </w:t>
      </w:r>
      <w:r>
        <w:t>recognition.</w:t>
      </w:r>
    </w:p>
    <w:p w:rsidR="00AE3E37" w:rsidRDefault="00A9710C" w:rsidP="00E66FD3">
      <w:pPr>
        <w:pStyle w:val="Heading3"/>
        <w:spacing w:before="74"/>
        <w:rPr>
          <w:color w:val="BF5A14"/>
        </w:rPr>
      </w:pPr>
      <w:r>
        <w:rPr>
          <w:b w:val="0"/>
        </w:rPr>
        <w:br w:type="column"/>
      </w:r>
      <w:r>
        <w:rPr>
          <w:color w:val="BF5A14"/>
        </w:rPr>
        <w:lastRenderedPageBreak/>
        <w:t>Image</w:t>
      </w:r>
    </w:p>
    <w:p w:rsidR="00E66FD3" w:rsidRDefault="00E66FD3" w:rsidP="00E66FD3">
      <w:pPr>
        <w:pStyle w:val="Heading3"/>
        <w:spacing w:before="74"/>
        <w:jc w:val="center"/>
        <w:rPr>
          <w:color w:val="BF5A14"/>
        </w:rPr>
      </w:pPr>
      <w:r>
        <w:rPr>
          <w:noProof/>
        </w:rPr>
        <w:drawing>
          <wp:inline distT="0" distB="0" distL="0" distR="0" wp14:anchorId="69A01181" wp14:editId="0787D2D3">
            <wp:extent cx="2895600" cy="1724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95600" cy="1724025"/>
                    </a:xfrm>
                    <a:prstGeom prst="rect">
                      <a:avLst/>
                    </a:prstGeom>
                  </pic:spPr>
                </pic:pic>
              </a:graphicData>
            </a:graphic>
          </wp:inline>
        </w:drawing>
      </w:r>
    </w:p>
    <w:p w:rsidR="00E66FD3" w:rsidRPr="00E66FD3" w:rsidRDefault="00E66FD3" w:rsidP="00E66FD3">
      <w:pPr>
        <w:pStyle w:val="Heading3"/>
        <w:spacing w:before="74"/>
        <w:rPr>
          <w:b w:val="0"/>
          <w:sz w:val="16"/>
        </w:rPr>
      </w:pPr>
      <w:r w:rsidRPr="00E66FD3">
        <w:rPr>
          <w:b w:val="0"/>
          <w:sz w:val="16"/>
        </w:rPr>
        <w:t xml:space="preserve">Figure 1: Percentage occurrence of L. </w:t>
      </w:r>
      <w:proofErr w:type="spellStart"/>
      <w:r w:rsidRPr="00E66FD3">
        <w:rPr>
          <w:b w:val="0"/>
          <w:sz w:val="16"/>
        </w:rPr>
        <w:t>mesenteroides</w:t>
      </w:r>
      <w:proofErr w:type="spellEnd"/>
      <w:r w:rsidRPr="00E66FD3">
        <w:rPr>
          <w:b w:val="0"/>
          <w:sz w:val="16"/>
        </w:rPr>
        <w:t xml:space="preserve"> in 20 patients suffering from periodontitis.</w:t>
      </w:r>
    </w:p>
    <w:p w:rsidR="005973B9" w:rsidRDefault="005973B9" w:rsidP="005973B9">
      <w:pPr>
        <w:spacing w:line="204" w:lineRule="exact"/>
        <w:rPr>
          <w:rFonts w:ascii="Arial"/>
          <w:b/>
          <w:sz w:val="20"/>
        </w:rPr>
      </w:pPr>
      <w:r>
        <w:rPr>
          <w:rFonts w:ascii="Arial"/>
          <w:b/>
          <w:color w:val="BF5A14"/>
          <w:sz w:val="20"/>
        </w:rPr>
        <w:br/>
        <w:t>Recent Publications (minimum 5)</w:t>
      </w:r>
    </w:p>
    <w:p w:rsidR="00E66FD3" w:rsidRDefault="00E66FD3" w:rsidP="00E66FD3">
      <w:pPr>
        <w:pStyle w:val="ListParagraph"/>
        <w:numPr>
          <w:ilvl w:val="0"/>
          <w:numId w:val="4"/>
        </w:numPr>
        <w:tabs>
          <w:tab w:val="left" w:pos="384"/>
        </w:tabs>
        <w:ind w:right="117"/>
        <w:rPr>
          <w:sz w:val="20"/>
        </w:rPr>
      </w:pPr>
      <w:r w:rsidRPr="00E66FD3">
        <w:rPr>
          <w:sz w:val="20"/>
        </w:rPr>
        <w:t xml:space="preserve">G. </w:t>
      </w:r>
      <w:proofErr w:type="spellStart"/>
      <w:r w:rsidRPr="00E66FD3">
        <w:rPr>
          <w:sz w:val="20"/>
        </w:rPr>
        <w:t>Zoumpopoulou</w:t>
      </w:r>
      <w:proofErr w:type="spellEnd"/>
      <w:r w:rsidRPr="00E66FD3">
        <w:rPr>
          <w:sz w:val="20"/>
        </w:rPr>
        <w:t xml:space="preserve">, K. Papadimitriou, V. </w:t>
      </w:r>
      <w:proofErr w:type="spellStart"/>
      <w:r w:rsidRPr="00E66FD3">
        <w:rPr>
          <w:sz w:val="20"/>
        </w:rPr>
        <w:t>Alexandraki</w:t>
      </w:r>
      <w:proofErr w:type="spellEnd"/>
      <w:r w:rsidRPr="00E66FD3">
        <w:rPr>
          <w:sz w:val="20"/>
        </w:rPr>
        <w:t xml:space="preserve"> et al., “The </w:t>
      </w:r>
      <w:proofErr w:type="spellStart"/>
      <w:r w:rsidRPr="00E66FD3">
        <w:rPr>
          <w:sz w:val="20"/>
        </w:rPr>
        <w:t>microbiota</w:t>
      </w:r>
      <w:proofErr w:type="spellEnd"/>
      <w:r w:rsidRPr="00E66FD3">
        <w:rPr>
          <w:sz w:val="20"/>
        </w:rPr>
        <w:t xml:space="preserve"> of </w:t>
      </w:r>
      <w:proofErr w:type="spellStart"/>
      <w:r w:rsidRPr="00E66FD3">
        <w:rPr>
          <w:sz w:val="20"/>
        </w:rPr>
        <w:t>Kalathaki</w:t>
      </w:r>
      <w:proofErr w:type="spellEnd"/>
      <w:r w:rsidRPr="00E66FD3">
        <w:rPr>
          <w:sz w:val="20"/>
        </w:rPr>
        <w:t xml:space="preserve"> and </w:t>
      </w:r>
      <w:proofErr w:type="spellStart"/>
      <w:r w:rsidRPr="00E66FD3">
        <w:rPr>
          <w:sz w:val="20"/>
        </w:rPr>
        <w:t>Melichloro</w:t>
      </w:r>
      <w:proofErr w:type="spellEnd"/>
      <w:r w:rsidRPr="00E66FD3">
        <w:rPr>
          <w:sz w:val="20"/>
        </w:rPr>
        <w:t xml:space="preserve"> Greek artisanal cheeses comprises functional lactic acid bacteria,” LWT, vol. </w:t>
      </w:r>
      <w:r>
        <w:rPr>
          <w:sz w:val="20"/>
        </w:rPr>
        <w:t xml:space="preserve">130, article 109570, 2020. </w:t>
      </w:r>
    </w:p>
    <w:p w:rsidR="00E66FD3" w:rsidRDefault="00E66FD3" w:rsidP="00E66FD3">
      <w:pPr>
        <w:pStyle w:val="ListParagraph"/>
        <w:numPr>
          <w:ilvl w:val="0"/>
          <w:numId w:val="4"/>
        </w:numPr>
        <w:tabs>
          <w:tab w:val="left" w:pos="384"/>
        </w:tabs>
        <w:ind w:right="117"/>
        <w:rPr>
          <w:sz w:val="20"/>
        </w:rPr>
      </w:pPr>
      <w:r w:rsidRPr="00E66FD3">
        <w:rPr>
          <w:sz w:val="20"/>
        </w:rPr>
        <w:t xml:space="preserve">H. Zhang, H. </w:t>
      </w:r>
      <w:proofErr w:type="spellStart"/>
      <w:r w:rsidRPr="00E66FD3">
        <w:rPr>
          <w:sz w:val="20"/>
        </w:rPr>
        <w:t>HuangFu</w:t>
      </w:r>
      <w:proofErr w:type="spellEnd"/>
      <w:r w:rsidRPr="00E66FD3">
        <w:rPr>
          <w:sz w:val="20"/>
        </w:rPr>
        <w:t xml:space="preserve">, X. Wang et al., “Antibacterial activity of lactic acid producing </w:t>
      </w:r>
      <w:proofErr w:type="spellStart"/>
      <w:r w:rsidRPr="00E66FD3">
        <w:rPr>
          <w:sz w:val="20"/>
        </w:rPr>
        <w:t>Leuconostoc</w:t>
      </w:r>
      <w:proofErr w:type="spellEnd"/>
      <w:r w:rsidRPr="00E66FD3">
        <w:rPr>
          <w:sz w:val="20"/>
        </w:rPr>
        <w:t xml:space="preserve"> </w:t>
      </w:r>
      <w:proofErr w:type="spellStart"/>
      <w:r w:rsidRPr="00E66FD3">
        <w:rPr>
          <w:sz w:val="20"/>
        </w:rPr>
        <w:t>mesenteroides</w:t>
      </w:r>
      <w:proofErr w:type="spellEnd"/>
      <w:r w:rsidRPr="00E66FD3">
        <w:rPr>
          <w:sz w:val="20"/>
        </w:rPr>
        <w:t xml:space="preserve"> QZ1178 against pathogenic </w:t>
      </w:r>
      <w:proofErr w:type="spellStart"/>
      <w:r w:rsidRPr="00E66FD3">
        <w:rPr>
          <w:sz w:val="20"/>
        </w:rPr>
        <w:t>Gallibacterium</w:t>
      </w:r>
      <w:proofErr w:type="spellEnd"/>
      <w:r w:rsidRPr="00E66FD3">
        <w:rPr>
          <w:sz w:val="20"/>
        </w:rPr>
        <w:t xml:space="preserve"> </w:t>
      </w:r>
      <w:proofErr w:type="spellStart"/>
      <w:r w:rsidRPr="00E66FD3">
        <w:rPr>
          <w:sz w:val="20"/>
        </w:rPr>
        <w:t>anati</w:t>
      </w:r>
      <w:r>
        <w:rPr>
          <w:sz w:val="20"/>
        </w:rPr>
        <w:t>s</w:t>
      </w:r>
      <w:proofErr w:type="spellEnd"/>
      <w:r>
        <w:rPr>
          <w:sz w:val="20"/>
        </w:rPr>
        <w:t xml:space="preserve">,” Science, vol. 8, 2021. </w:t>
      </w:r>
    </w:p>
    <w:p w:rsidR="00E66FD3" w:rsidRDefault="00E66FD3" w:rsidP="00E66FD3">
      <w:pPr>
        <w:pStyle w:val="ListParagraph"/>
        <w:numPr>
          <w:ilvl w:val="0"/>
          <w:numId w:val="4"/>
        </w:numPr>
        <w:tabs>
          <w:tab w:val="left" w:pos="384"/>
        </w:tabs>
        <w:ind w:right="117"/>
        <w:rPr>
          <w:sz w:val="20"/>
        </w:rPr>
      </w:pPr>
      <w:r w:rsidRPr="00E66FD3">
        <w:rPr>
          <w:sz w:val="20"/>
        </w:rPr>
        <w:t xml:space="preserve">M. J. </w:t>
      </w:r>
      <w:proofErr w:type="spellStart"/>
      <w:r w:rsidRPr="00E66FD3">
        <w:rPr>
          <w:sz w:val="20"/>
        </w:rPr>
        <w:t>Leboffe</w:t>
      </w:r>
      <w:proofErr w:type="spellEnd"/>
      <w:r w:rsidRPr="00E66FD3">
        <w:rPr>
          <w:sz w:val="20"/>
        </w:rPr>
        <w:t xml:space="preserve"> and B. E. Pierce, </w:t>
      </w:r>
      <w:proofErr w:type="gramStart"/>
      <w:r w:rsidRPr="00E66FD3">
        <w:rPr>
          <w:sz w:val="20"/>
        </w:rPr>
        <w:t>A</w:t>
      </w:r>
      <w:proofErr w:type="gramEnd"/>
      <w:r w:rsidRPr="00E66FD3">
        <w:rPr>
          <w:sz w:val="20"/>
        </w:rPr>
        <w:t xml:space="preserve"> Photographic Atlas for the Microbiology Laboratory, Morton</w:t>
      </w:r>
      <w:r>
        <w:rPr>
          <w:sz w:val="20"/>
        </w:rPr>
        <w:t xml:space="preserve"> Publishing Company, 2021. </w:t>
      </w:r>
    </w:p>
    <w:p w:rsidR="00E66FD3" w:rsidRDefault="00E66FD3" w:rsidP="00E66FD3">
      <w:pPr>
        <w:pStyle w:val="ListParagraph"/>
        <w:numPr>
          <w:ilvl w:val="0"/>
          <w:numId w:val="4"/>
        </w:numPr>
        <w:tabs>
          <w:tab w:val="left" w:pos="384"/>
        </w:tabs>
        <w:ind w:right="117"/>
        <w:rPr>
          <w:sz w:val="20"/>
        </w:rPr>
      </w:pPr>
      <w:r w:rsidRPr="00E66FD3">
        <w:rPr>
          <w:sz w:val="20"/>
        </w:rPr>
        <w:t xml:space="preserve">I. </w:t>
      </w:r>
      <w:proofErr w:type="spellStart"/>
      <w:r w:rsidRPr="00E66FD3">
        <w:rPr>
          <w:sz w:val="20"/>
        </w:rPr>
        <w:t>Wiegand</w:t>
      </w:r>
      <w:proofErr w:type="spellEnd"/>
      <w:r w:rsidRPr="00E66FD3">
        <w:rPr>
          <w:sz w:val="20"/>
        </w:rPr>
        <w:t xml:space="preserve">, K. </w:t>
      </w:r>
      <w:proofErr w:type="spellStart"/>
      <w:r w:rsidRPr="00E66FD3">
        <w:rPr>
          <w:sz w:val="20"/>
        </w:rPr>
        <w:t>Hilpert</w:t>
      </w:r>
      <w:proofErr w:type="spellEnd"/>
      <w:r w:rsidRPr="00E66FD3">
        <w:rPr>
          <w:sz w:val="20"/>
        </w:rPr>
        <w:t>, and R. E. Hancock, “Agar and broth dilution methods to determine the minimal inhibitory concentration (MIC) of antimicrobial substances,” Nature Protocols, vol. 3,</w:t>
      </w:r>
      <w:r>
        <w:rPr>
          <w:sz w:val="20"/>
        </w:rPr>
        <w:t xml:space="preserve"> no. 2, pp. 163–175, 2008. </w:t>
      </w:r>
    </w:p>
    <w:p w:rsidR="00E66FD3" w:rsidRDefault="00E66FD3" w:rsidP="00E66FD3">
      <w:pPr>
        <w:pStyle w:val="ListParagraph"/>
        <w:numPr>
          <w:ilvl w:val="0"/>
          <w:numId w:val="4"/>
        </w:numPr>
        <w:tabs>
          <w:tab w:val="left" w:pos="384"/>
        </w:tabs>
        <w:ind w:right="117"/>
        <w:rPr>
          <w:sz w:val="20"/>
        </w:rPr>
      </w:pPr>
      <w:r w:rsidRPr="00E66FD3">
        <w:rPr>
          <w:sz w:val="20"/>
        </w:rPr>
        <w:t>G. A. O'Toole, “</w:t>
      </w:r>
      <w:proofErr w:type="spellStart"/>
      <w:r w:rsidRPr="00E66FD3">
        <w:rPr>
          <w:sz w:val="20"/>
        </w:rPr>
        <w:t>Microtiter</w:t>
      </w:r>
      <w:proofErr w:type="spellEnd"/>
      <w:r w:rsidRPr="00E66FD3">
        <w:rPr>
          <w:sz w:val="20"/>
        </w:rPr>
        <w:t xml:space="preserve"> dish biofilm formation assay,” </w:t>
      </w:r>
      <w:proofErr w:type="spellStart"/>
      <w:r w:rsidRPr="00E66FD3">
        <w:rPr>
          <w:sz w:val="20"/>
        </w:rPr>
        <w:t>JoVE</w:t>
      </w:r>
      <w:proofErr w:type="spellEnd"/>
      <w:r w:rsidRPr="00E66FD3">
        <w:rPr>
          <w:sz w:val="20"/>
        </w:rPr>
        <w:t xml:space="preserve"> Journal of Visualized Experiments,</w:t>
      </w:r>
      <w:r>
        <w:rPr>
          <w:sz w:val="20"/>
        </w:rPr>
        <w:t xml:space="preserve"> vol. 47, pp. 24–37, 2011. </w:t>
      </w:r>
    </w:p>
    <w:p w:rsidR="00E66FD3" w:rsidRDefault="00E66FD3" w:rsidP="00E66FD3">
      <w:pPr>
        <w:pStyle w:val="ListParagraph"/>
        <w:numPr>
          <w:ilvl w:val="0"/>
          <w:numId w:val="4"/>
        </w:numPr>
        <w:tabs>
          <w:tab w:val="left" w:pos="384"/>
        </w:tabs>
        <w:ind w:right="117"/>
        <w:rPr>
          <w:sz w:val="20"/>
        </w:rPr>
      </w:pPr>
      <w:r w:rsidRPr="00E66FD3">
        <w:rPr>
          <w:sz w:val="20"/>
        </w:rPr>
        <w:t xml:space="preserve">A. C. R. Tanner, J. M. J. </w:t>
      </w:r>
      <w:proofErr w:type="spellStart"/>
      <w:r w:rsidRPr="00E66FD3">
        <w:rPr>
          <w:sz w:val="20"/>
        </w:rPr>
        <w:t>Mathney</w:t>
      </w:r>
      <w:proofErr w:type="spellEnd"/>
      <w:r w:rsidRPr="00E66FD3">
        <w:rPr>
          <w:sz w:val="20"/>
        </w:rPr>
        <w:t xml:space="preserve">, R. L. Kent et al., “Cultivable anaerobic </w:t>
      </w:r>
      <w:proofErr w:type="spellStart"/>
      <w:r w:rsidRPr="00E66FD3">
        <w:rPr>
          <w:sz w:val="20"/>
        </w:rPr>
        <w:t>microbiota</w:t>
      </w:r>
      <w:proofErr w:type="spellEnd"/>
      <w:r w:rsidRPr="00E66FD3">
        <w:rPr>
          <w:sz w:val="20"/>
        </w:rPr>
        <w:t xml:space="preserve"> of severe early childhood caries,” Journal of Clinical Microbiology, vol. 49, no. 4, pp. 1464–1474,</w:t>
      </w:r>
      <w:r>
        <w:rPr>
          <w:sz w:val="20"/>
        </w:rPr>
        <w:t xml:space="preserve"> 2011. </w:t>
      </w:r>
    </w:p>
    <w:p w:rsidR="00E66FD3" w:rsidRDefault="00E66FD3" w:rsidP="00E66FD3">
      <w:pPr>
        <w:pStyle w:val="ListParagraph"/>
        <w:numPr>
          <w:ilvl w:val="0"/>
          <w:numId w:val="4"/>
        </w:numPr>
        <w:tabs>
          <w:tab w:val="left" w:pos="384"/>
        </w:tabs>
        <w:ind w:right="117"/>
        <w:rPr>
          <w:sz w:val="20"/>
        </w:rPr>
      </w:pPr>
      <w:r w:rsidRPr="00E66FD3">
        <w:rPr>
          <w:sz w:val="20"/>
        </w:rPr>
        <w:t xml:space="preserve">X. Chen, E. B. M. </w:t>
      </w:r>
      <w:proofErr w:type="spellStart"/>
      <w:r w:rsidRPr="00E66FD3">
        <w:rPr>
          <w:sz w:val="20"/>
        </w:rPr>
        <w:t>Daliri</w:t>
      </w:r>
      <w:proofErr w:type="spellEnd"/>
      <w:r w:rsidRPr="00E66FD3">
        <w:rPr>
          <w:sz w:val="20"/>
        </w:rPr>
        <w:t xml:space="preserve">, R. </w:t>
      </w:r>
      <w:proofErr w:type="spellStart"/>
      <w:r w:rsidRPr="00E66FD3">
        <w:rPr>
          <w:sz w:val="20"/>
        </w:rPr>
        <w:t>Chelliah</w:t>
      </w:r>
      <w:proofErr w:type="spellEnd"/>
      <w:r w:rsidRPr="00E66FD3">
        <w:rPr>
          <w:sz w:val="20"/>
        </w:rPr>
        <w:t>, and D. H. Oh, “Isolation and identification of potentially pathogenic microorganisms associated with dental caries in human teeth biofilms,” Microorganisms, vol.</w:t>
      </w:r>
      <w:r>
        <w:rPr>
          <w:sz w:val="20"/>
        </w:rPr>
        <w:t xml:space="preserve"> 8, no. 10, p. 1596, 2020.</w:t>
      </w:r>
    </w:p>
    <w:p w:rsidR="00E66FD3" w:rsidRDefault="00E66FD3" w:rsidP="00E66FD3">
      <w:pPr>
        <w:pStyle w:val="ListParagraph"/>
        <w:numPr>
          <w:ilvl w:val="0"/>
          <w:numId w:val="4"/>
        </w:numPr>
        <w:tabs>
          <w:tab w:val="left" w:pos="384"/>
        </w:tabs>
        <w:ind w:right="117"/>
        <w:rPr>
          <w:sz w:val="20"/>
        </w:rPr>
      </w:pPr>
      <w:r w:rsidRPr="00E66FD3">
        <w:rPr>
          <w:sz w:val="20"/>
        </w:rPr>
        <w:t xml:space="preserve">M. L. </w:t>
      </w:r>
      <w:proofErr w:type="spellStart"/>
      <w:r w:rsidRPr="00E66FD3">
        <w:rPr>
          <w:sz w:val="20"/>
        </w:rPr>
        <w:t>Thivagar</w:t>
      </w:r>
      <w:proofErr w:type="spellEnd"/>
      <w:r w:rsidRPr="00E66FD3">
        <w:rPr>
          <w:sz w:val="20"/>
        </w:rPr>
        <w:t>, A. S. Al-</w:t>
      </w:r>
      <w:proofErr w:type="spellStart"/>
      <w:r w:rsidRPr="00E66FD3">
        <w:rPr>
          <w:sz w:val="20"/>
        </w:rPr>
        <w:t>Obeidi</w:t>
      </w:r>
      <w:proofErr w:type="spellEnd"/>
      <w:r w:rsidRPr="00E66FD3">
        <w:rPr>
          <w:sz w:val="20"/>
        </w:rPr>
        <w:t xml:space="preserve">, B. </w:t>
      </w:r>
      <w:proofErr w:type="spellStart"/>
      <w:r w:rsidRPr="00E66FD3">
        <w:rPr>
          <w:sz w:val="20"/>
        </w:rPr>
        <w:t>Tamilarasan</w:t>
      </w:r>
      <w:proofErr w:type="spellEnd"/>
      <w:r w:rsidRPr="00E66FD3">
        <w:rPr>
          <w:sz w:val="20"/>
        </w:rPr>
        <w:t xml:space="preserve">, and A. A. </w:t>
      </w:r>
      <w:proofErr w:type="spellStart"/>
      <w:r w:rsidRPr="00E66FD3">
        <w:rPr>
          <w:sz w:val="20"/>
        </w:rPr>
        <w:t>Hamad</w:t>
      </w:r>
      <w:proofErr w:type="spellEnd"/>
      <w:r w:rsidRPr="00E66FD3">
        <w:rPr>
          <w:sz w:val="20"/>
        </w:rPr>
        <w:t xml:space="preserve">, “Dynamic analysis and projective synchronization of a new 4D system,” in </w:t>
      </w:r>
      <w:proofErr w:type="spellStart"/>
      <w:r w:rsidRPr="00E66FD3">
        <w:rPr>
          <w:sz w:val="20"/>
        </w:rPr>
        <w:t>IoT</w:t>
      </w:r>
      <w:proofErr w:type="spellEnd"/>
      <w:r w:rsidRPr="00E66FD3">
        <w:rPr>
          <w:sz w:val="20"/>
        </w:rPr>
        <w:t xml:space="preserve"> and Analytics for Sensor Networks, </w:t>
      </w:r>
      <w:proofErr w:type="spellStart"/>
      <w:r w:rsidRPr="00E66FD3">
        <w:rPr>
          <w:sz w:val="20"/>
        </w:rPr>
        <w:t>vol</w:t>
      </w:r>
      <w:proofErr w:type="spellEnd"/>
      <w:r w:rsidRPr="00E66FD3">
        <w:rPr>
          <w:sz w:val="20"/>
        </w:rPr>
        <w:t xml:space="preserve"> 244, pp. 323–332, </w:t>
      </w:r>
      <w:r>
        <w:rPr>
          <w:sz w:val="20"/>
        </w:rPr>
        <w:t xml:space="preserve">Springer, Singapore, 2022. </w:t>
      </w:r>
    </w:p>
    <w:p w:rsidR="00E66FD3" w:rsidRDefault="00E66FD3" w:rsidP="00E66FD3">
      <w:pPr>
        <w:pStyle w:val="ListParagraph"/>
        <w:numPr>
          <w:ilvl w:val="0"/>
          <w:numId w:val="4"/>
        </w:numPr>
        <w:tabs>
          <w:tab w:val="left" w:pos="384"/>
        </w:tabs>
        <w:ind w:right="117"/>
        <w:rPr>
          <w:sz w:val="20"/>
        </w:rPr>
      </w:pPr>
      <w:r w:rsidRPr="00E66FD3">
        <w:rPr>
          <w:sz w:val="20"/>
        </w:rPr>
        <w:t xml:space="preserve">M. </w:t>
      </w:r>
      <w:proofErr w:type="spellStart"/>
      <w:r w:rsidRPr="00E66FD3">
        <w:rPr>
          <w:sz w:val="20"/>
        </w:rPr>
        <w:t>Elhai</w:t>
      </w:r>
      <w:proofErr w:type="spellEnd"/>
      <w:r w:rsidRPr="00E66FD3">
        <w:rPr>
          <w:sz w:val="20"/>
        </w:rPr>
        <w:t xml:space="preserve">, C. </w:t>
      </w:r>
      <w:proofErr w:type="spellStart"/>
      <w:r w:rsidRPr="00E66FD3">
        <w:rPr>
          <w:sz w:val="20"/>
        </w:rPr>
        <w:t>Meune</w:t>
      </w:r>
      <w:proofErr w:type="spellEnd"/>
      <w:r w:rsidRPr="00E66FD3">
        <w:rPr>
          <w:sz w:val="20"/>
        </w:rPr>
        <w:t xml:space="preserve">, M. </w:t>
      </w:r>
      <w:proofErr w:type="spellStart"/>
      <w:r w:rsidRPr="00E66FD3">
        <w:rPr>
          <w:sz w:val="20"/>
        </w:rPr>
        <w:t>Boubaya</w:t>
      </w:r>
      <w:proofErr w:type="spellEnd"/>
      <w:r w:rsidRPr="00E66FD3">
        <w:rPr>
          <w:sz w:val="20"/>
        </w:rPr>
        <w:t xml:space="preserve"> et al., “Mapping and predicting mortality from systemic sclerosis,” Annals of the rheumatic diseases, vol. 76, no</w:t>
      </w:r>
      <w:r>
        <w:rPr>
          <w:sz w:val="20"/>
        </w:rPr>
        <w:t xml:space="preserve">. 11, pp. 1897–1905, 2017. </w:t>
      </w:r>
    </w:p>
    <w:p w:rsidR="00E66FD3" w:rsidRDefault="00E66FD3" w:rsidP="00E66FD3">
      <w:pPr>
        <w:pStyle w:val="ListParagraph"/>
        <w:numPr>
          <w:ilvl w:val="0"/>
          <w:numId w:val="4"/>
        </w:numPr>
        <w:tabs>
          <w:tab w:val="left" w:pos="384"/>
        </w:tabs>
        <w:ind w:right="117"/>
        <w:rPr>
          <w:sz w:val="20"/>
        </w:rPr>
      </w:pPr>
      <w:r w:rsidRPr="00E66FD3">
        <w:rPr>
          <w:sz w:val="20"/>
        </w:rPr>
        <w:t xml:space="preserve">X. Shao, K. Fang, D. Medina, J. Wan, J. L. Lee, and S. H. Hong, “The probiotic, </w:t>
      </w:r>
      <w:proofErr w:type="spellStart"/>
      <w:r w:rsidRPr="00E66FD3">
        <w:rPr>
          <w:sz w:val="20"/>
        </w:rPr>
        <w:t>Leuconostoc</w:t>
      </w:r>
      <w:proofErr w:type="spellEnd"/>
      <w:r w:rsidRPr="00E66FD3">
        <w:rPr>
          <w:sz w:val="20"/>
        </w:rPr>
        <w:t xml:space="preserve"> </w:t>
      </w:r>
      <w:proofErr w:type="spellStart"/>
      <w:r w:rsidRPr="00E66FD3">
        <w:rPr>
          <w:sz w:val="20"/>
        </w:rPr>
        <w:t>mesenteroides</w:t>
      </w:r>
      <w:proofErr w:type="spellEnd"/>
      <w:r w:rsidRPr="00E66FD3">
        <w:rPr>
          <w:sz w:val="20"/>
        </w:rPr>
        <w:t xml:space="preserve">, inhibits Listeria </w:t>
      </w:r>
      <w:proofErr w:type="spellStart"/>
      <w:r w:rsidRPr="00E66FD3">
        <w:rPr>
          <w:sz w:val="20"/>
        </w:rPr>
        <w:t>monocytogenes</w:t>
      </w:r>
      <w:proofErr w:type="spellEnd"/>
      <w:r w:rsidRPr="00E66FD3">
        <w:rPr>
          <w:sz w:val="20"/>
        </w:rPr>
        <w:t xml:space="preserve"> biofilm formation,” Journal of Food Safety, vol. 40, no</w:t>
      </w:r>
      <w:r>
        <w:rPr>
          <w:sz w:val="20"/>
        </w:rPr>
        <w:t xml:space="preserve">. 2, article e12750, 2020. </w:t>
      </w:r>
    </w:p>
    <w:p w:rsidR="00E66FD3" w:rsidRDefault="00E66FD3" w:rsidP="00E66FD3">
      <w:pPr>
        <w:pStyle w:val="ListParagraph"/>
        <w:numPr>
          <w:ilvl w:val="0"/>
          <w:numId w:val="4"/>
        </w:numPr>
        <w:tabs>
          <w:tab w:val="left" w:pos="384"/>
        </w:tabs>
        <w:ind w:right="117"/>
        <w:rPr>
          <w:sz w:val="20"/>
        </w:rPr>
      </w:pPr>
      <w:r w:rsidRPr="00E66FD3">
        <w:rPr>
          <w:sz w:val="20"/>
        </w:rPr>
        <w:lastRenderedPageBreak/>
        <w:t xml:space="preserve">W. A. D. </w:t>
      </w:r>
      <w:proofErr w:type="spellStart"/>
      <w:r w:rsidRPr="00E66FD3">
        <w:rPr>
          <w:sz w:val="20"/>
        </w:rPr>
        <w:t>Kaboré</w:t>
      </w:r>
      <w:proofErr w:type="spellEnd"/>
      <w:r w:rsidRPr="00E66FD3">
        <w:rPr>
          <w:sz w:val="20"/>
        </w:rPr>
        <w:t xml:space="preserve">, S. R. </w:t>
      </w:r>
      <w:proofErr w:type="spellStart"/>
      <w:r w:rsidRPr="00E66FD3">
        <w:rPr>
          <w:sz w:val="20"/>
        </w:rPr>
        <w:t>Dembélé</w:t>
      </w:r>
      <w:proofErr w:type="spellEnd"/>
      <w:r w:rsidRPr="00E66FD3">
        <w:rPr>
          <w:sz w:val="20"/>
        </w:rPr>
        <w:t xml:space="preserve">, and N. </w:t>
      </w:r>
      <w:proofErr w:type="spellStart"/>
      <w:r w:rsidRPr="00E66FD3">
        <w:rPr>
          <w:sz w:val="20"/>
        </w:rPr>
        <w:t>Barro</w:t>
      </w:r>
      <w:proofErr w:type="spellEnd"/>
      <w:r w:rsidRPr="00E66FD3">
        <w:rPr>
          <w:sz w:val="20"/>
        </w:rPr>
        <w:t xml:space="preserve">, “Occurrence and antimicrobial susceptibility of </w:t>
      </w:r>
      <w:proofErr w:type="spellStart"/>
      <w:r w:rsidRPr="00E66FD3">
        <w:rPr>
          <w:sz w:val="20"/>
        </w:rPr>
        <w:t>Leuconostoc</w:t>
      </w:r>
      <w:proofErr w:type="spellEnd"/>
      <w:r w:rsidRPr="00E66FD3">
        <w:rPr>
          <w:sz w:val="20"/>
        </w:rPr>
        <w:t>: an emergent pathogenic associated with acute endodontic infections,” Turkish Endodontic Journal, vol</w:t>
      </w:r>
      <w:r>
        <w:rPr>
          <w:sz w:val="20"/>
        </w:rPr>
        <w:t xml:space="preserve">. 6, no. 1, pp. 1–6, 2021. </w:t>
      </w:r>
    </w:p>
    <w:p w:rsidR="00AE3E37" w:rsidRPr="00E66FD3" w:rsidRDefault="00E66FD3" w:rsidP="00E66FD3">
      <w:pPr>
        <w:pStyle w:val="ListParagraph"/>
        <w:numPr>
          <w:ilvl w:val="0"/>
          <w:numId w:val="4"/>
        </w:numPr>
        <w:tabs>
          <w:tab w:val="left" w:pos="384"/>
        </w:tabs>
        <w:ind w:right="117"/>
        <w:rPr>
          <w:sz w:val="20"/>
        </w:rPr>
      </w:pPr>
      <w:r w:rsidRPr="00E66FD3">
        <w:rPr>
          <w:sz w:val="20"/>
        </w:rPr>
        <w:t xml:space="preserve">D. F. </w:t>
      </w:r>
      <w:proofErr w:type="spellStart"/>
      <w:r w:rsidRPr="00E66FD3">
        <w:rPr>
          <w:sz w:val="20"/>
        </w:rPr>
        <w:t>Bogari</w:t>
      </w:r>
      <w:proofErr w:type="spellEnd"/>
      <w:r w:rsidRPr="00E66FD3">
        <w:rPr>
          <w:sz w:val="20"/>
        </w:rPr>
        <w:t xml:space="preserve">, N. A. </w:t>
      </w:r>
      <w:proofErr w:type="spellStart"/>
      <w:r w:rsidRPr="00E66FD3">
        <w:rPr>
          <w:sz w:val="20"/>
        </w:rPr>
        <w:t>Alzebiani</w:t>
      </w:r>
      <w:proofErr w:type="spellEnd"/>
      <w:r w:rsidRPr="00E66FD3">
        <w:rPr>
          <w:sz w:val="20"/>
        </w:rPr>
        <w:t xml:space="preserve">, R. M. </w:t>
      </w:r>
      <w:proofErr w:type="spellStart"/>
      <w:r w:rsidRPr="00E66FD3">
        <w:rPr>
          <w:sz w:val="20"/>
        </w:rPr>
        <w:t>Mansouri</w:t>
      </w:r>
      <w:proofErr w:type="spellEnd"/>
      <w:r w:rsidRPr="00E66FD3">
        <w:rPr>
          <w:sz w:val="20"/>
        </w:rPr>
        <w:t xml:space="preserve"> et al., </w:t>
      </w:r>
      <w:r w:rsidRPr="00E66FD3">
        <w:rPr>
          <w:sz w:val="20"/>
        </w:rPr>
        <w:lastRenderedPageBreak/>
        <w:t>“The knowledge and attitude of general dental practitioners toward the proper standards of care while managing endodontic patients in Saudi Arabia,” Saudi Endodontic Journal, vol. 9, pp. 40–50, 2019.</w:t>
      </w:r>
    </w:p>
    <w:p w:rsidR="00AE3E37" w:rsidRPr="00E66FD3" w:rsidRDefault="008756E6" w:rsidP="00E66FD3">
      <w:pPr>
        <w:spacing w:line="200" w:lineRule="exact"/>
        <w:jc w:val="both"/>
        <w:rPr>
          <w:rFonts w:ascii="Calibri" w:hAnsi="Calibri"/>
          <w:sz w:val="20"/>
        </w:rPr>
        <w:sectPr w:rsidR="00AE3E37" w:rsidRPr="00E66FD3" w:rsidSect="008E5477">
          <w:type w:val="continuous"/>
          <w:pgSz w:w="11910" w:h="16840"/>
          <w:pgMar w:top="995" w:right="600" w:bottom="840" w:left="620" w:header="720" w:footer="720" w:gutter="0"/>
          <w:cols w:num="2" w:space="720" w:equalWidth="0">
            <w:col w:w="5214" w:space="138"/>
            <w:col w:w="5338"/>
          </w:cols>
        </w:sectPr>
      </w:pPr>
      <w:r w:rsidRPr="00E66FD3">
        <w:rPr>
          <w:rFonts w:ascii="Calibri" w:hAnsi="Calibri"/>
          <w:sz w:val="20"/>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63419" w:rsidP="00A52075">
                            <w:pPr>
                              <w:rPr>
                                <w:b/>
                                <w:color w:val="0000FF"/>
                                <w:lang w:val="en-IN"/>
                              </w:rPr>
                            </w:pPr>
                            <w:r w:rsidRPr="00F63419">
                              <w:rPr>
                                <w:rFonts w:ascii="Times New Roman" w:eastAsia="Calibri" w:hAnsi="Times New Roman" w:cs="Times New Roman"/>
                                <w:noProof/>
                                <w:sz w:val="24"/>
                                <w:szCs w:val="24"/>
                              </w:rPr>
                              <w:drawing>
                                <wp:inline distT="0" distB="0" distL="0" distR="0" wp14:anchorId="7CE0DAB1" wp14:editId="5932A0D3">
                                  <wp:extent cx="741680" cy="361950"/>
                                  <wp:effectExtent l="0" t="0" r="1270" b="0"/>
                                  <wp:docPr id="6" name="Picture 6" descr="Mizan Tepi University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zan Tepi University - Apps on Google Pla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1680" cy="361950"/>
                                          </a:xfrm>
                                          <a:prstGeom prst="rect">
                                            <a:avLst/>
                                          </a:prstGeom>
                                          <a:noFill/>
                                          <a:ln>
                                            <a:noFill/>
                                          </a:ln>
                                        </pic:spPr>
                                      </pic:pic>
                                    </a:graphicData>
                                  </a:graphic>
                                </wp:inline>
                              </w:drawing>
                            </w:r>
                            <w:proofErr w:type="spellStart"/>
                            <w:proofErr w:type="gramStart"/>
                            <w:r w:rsidR="00A52075">
                              <w:rPr>
                                <w:b/>
                                <w:color w:val="0000FF"/>
                                <w:lang w:val="en-IN"/>
                              </w:rPr>
                              <w:t>ste</w:t>
                            </w:r>
                            <w:proofErr w:type="spellEnd"/>
                            <w:proofErr w:type="gramEnd"/>
                            <w:r w:rsidR="00A52075">
                              <w:rPr>
                                <w:b/>
                                <w:color w:val="0000FF"/>
                                <w:lang w:val="en-IN"/>
                              </w:rPr>
                              <w:t xml:space="preserv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F63419" w:rsidP="00A52075">
                      <w:pPr>
                        <w:rPr>
                          <w:b/>
                          <w:color w:val="0000FF"/>
                          <w:lang w:val="en-IN"/>
                        </w:rPr>
                      </w:pPr>
                      <w:r w:rsidRPr="00F63419">
                        <w:rPr>
                          <w:rFonts w:ascii="Times New Roman" w:eastAsia="Calibri" w:hAnsi="Times New Roman" w:cs="Times New Roman"/>
                          <w:noProof/>
                          <w:sz w:val="24"/>
                          <w:szCs w:val="24"/>
                        </w:rPr>
                        <w:drawing>
                          <wp:inline distT="0" distB="0" distL="0" distR="0" wp14:anchorId="7CE0DAB1" wp14:editId="5932A0D3">
                            <wp:extent cx="741680" cy="361950"/>
                            <wp:effectExtent l="0" t="0" r="1270" b="0"/>
                            <wp:docPr id="6" name="Picture 6" descr="Mizan Tepi University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zan Tepi University - Apps on Google Pla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1680" cy="361950"/>
                                    </a:xfrm>
                                    <a:prstGeom prst="rect">
                                      <a:avLst/>
                                    </a:prstGeom>
                                    <a:noFill/>
                                    <a:ln>
                                      <a:noFill/>
                                    </a:ln>
                                  </pic:spPr>
                                </pic:pic>
                              </a:graphicData>
                            </a:graphic>
                          </wp:inline>
                        </w:drawing>
                      </w:r>
                      <w:proofErr w:type="spellStart"/>
                      <w:proofErr w:type="gramStart"/>
                      <w:r w:rsidR="00A52075">
                        <w:rPr>
                          <w:b/>
                          <w:color w:val="0000FF"/>
                          <w:lang w:val="en-IN"/>
                        </w:rPr>
                        <w:t>ste</w:t>
                      </w:r>
                      <w:proofErr w:type="spellEnd"/>
                      <w:proofErr w:type="gramEnd"/>
                      <w:r w:rsidR="00A52075">
                        <w:rPr>
                          <w:b/>
                          <w:color w:val="0000FF"/>
                          <w:lang w:val="en-IN"/>
                        </w:rPr>
                        <w:t xml:space="preserve"> your Logo here</w:t>
                      </w:r>
                    </w:p>
                  </w:txbxContent>
                </v:textbox>
              </v:roundrect>
            </w:pict>
          </mc:Fallback>
        </mc:AlternateContent>
      </w:r>
      <w:r w:rsidR="008756E6">
        <w:rPr>
          <w:noProof/>
        </w:rPr>
        <w:t xml:space="preserve">              </w:t>
      </w:r>
      <w:r w:rsidR="00F63419">
        <w:rPr>
          <w:noProof/>
        </w:rPr>
        <w:drawing>
          <wp:inline distT="0" distB="0" distL="0" distR="0">
            <wp:extent cx="1009650" cy="619125"/>
            <wp:effectExtent l="0" t="0" r="0" b="9525"/>
            <wp:docPr id="3" name="Picture 3" descr="C:\Users\User\Pictures\Camera Roll\WIN_20220108_01_16_0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Camera Roll\WIN_20220108_01_16_00_Pr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61912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F63419">
      <w:pPr>
        <w:spacing w:before="41" w:line="154" w:lineRule="exact"/>
        <w:ind w:left="213" w:right="231"/>
        <w:jc w:val="both"/>
        <w:rPr>
          <w:rFonts w:ascii="Arial"/>
          <w:sz w:val="14"/>
        </w:rPr>
      </w:pPr>
      <w:r>
        <w:rPr>
          <w:rFonts w:ascii="Arial"/>
          <w:sz w:val="14"/>
        </w:rPr>
        <w:t xml:space="preserve">Mequanint </w:t>
      </w:r>
      <w:proofErr w:type="spellStart"/>
      <w:r>
        <w:rPr>
          <w:rFonts w:ascii="Arial"/>
          <w:sz w:val="14"/>
        </w:rPr>
        <w:t>Birhan</w:t>
      </w:r>
      <w:proofErr w:type="spellEnd"/>
      <w:r>
        <w:rPr>
          <w:rFonts w:ascii="Arial"/>
          <w:sz w:val="14"/>
        </w:rPr>
        <w:t xml:space="preserve"> has his</w:t>
      </w:r>
      <w:r w:rsidR="00A9710C">
        <w:rPr>
          <w:rFonts w:ascii="Arial"/>
          <w:sz w:val="14"/>
        </w:rPr>
        <w:t xml:space="preserve"> expertise in evaluation and passion in improvi</w:t>
      </w:r>
      <w:r w:rsidR="000442BB">
        <w:rPr>
          <w:rFonts w:ascii="Arial"/>
          <w:sz w:val="14"/>
        </w:rPr>
        <w:t>ng the health and wellbeing</w:t>
      </w:r>
      <w:r w:rsidR="00AA222C">
        <w:rPr>
          <w:rFonts w:ascii="Arial"/>
          <w:sz w:val="14"/>
        </w:rPr>
        <w:t xml:space="preserve"> of engineering work places (industries and offices)</w:t>
      </w:r>
      <w:r w:rsidR="000442BB">
        <w:rPr>
          <w:rFonts w:ascii="Arial"/>
          <w:sz w:val="14"/>
        </w:rPr>
        <w:t>. His</w:t>
      </w:r>
      <w:r w:rsidR="00A9710C">
        <w:rPr>
          <w:rFonts w:ascii="Arial"/>
          <w:sz w:val="14"/>
        </w:rPr>
        <w:t xml:space="preserve">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0442BB">
        <w:rPr>
          <w:rFonts w:ascii="Arial"/>
          <w:sz w:val="14"/>
        </w:rPr>
        <w:t>He</w:t>
      </w:r>
      <w:r w:rsidR="000E2911">
        <w:rPr>
          <w:rFonts w:ascii="Arial"/>
          <w:sz w:val="14"/>
        </w:rPr>
        <w:t xml:space="preserve"> </w:t>
      </w:r>
      <w:r w:rsidR="00A9710C">
        <w:rPr>
          <w:rFonts w:ascii="Arial"/>
          <w:sz w:val="14"/>
        </w:rPr>
        <w:t>has</w:t>
      </w:r>
      <w:r w:rsidR="000E2911">
        <w:rPr>
          <w:rFonts w:ascii="Arial"/>
          <w:sz w:val="14"/>
        </w:rPr>
        <w:t xml:space="preserve"> </w:t>
      </w:r>
      <w:r w:rsidR="00AA222C">
        <w:rPr>
          <w:rFonts w:ascii="Arial"/>
          <w:sz w:val="14"/>
        </w:rPr>
        <w:t>studied by</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A222C">
        <w:rPr>
          <w:rFonts w:ascii="Arial"/>
          <w:sz w:val="14"/>
        </w:rPr>
        <w:t xml:space="preserve">administration </w:t>
      </w:r>
      <w:r w:rsidR="000442BB">
        <w:rPr>
          <w:rFonts w:ascii="Arial"/>
          <w:sz w:val="14"/>
        </w:rPr>
        <w:t xml:space="preserve">in </w:t>
      </w:r>
      <w:r w:rsidR="00A9710C">
        <w:rPr>
          <w:rFonts w:ascii="Arial"/>
          <w:sz w:val="14"/>
        </w:rPr>
        <w:t xml:space="preserve">education institutions. The </w:t>
      </w:r>
      <w:r w:rsidR="00AA222C">
        <w:rPr>
          <w:rFonts w:ascii="Arial"/>
          <w:sz w:val="14"/>
        </w:rPr>
        <w:t xml:space="preserve">consulting office launched in the university offers a lot of problem services. Due to that many young communities joined for occupation and new work (they are being entrepreneurs). The skill grasped from several years of experience helped him to be easily serving the community in various ways. Including designing artistic evening time platforms, education and training, theological </w:t>
      </w:r>
      <w:r w:rsidR="00C200E1">
        <w:rPr>
          <w:rFonts w:ascii="Arial"/>
          <w:sz w:val="14"/>
        </w:rPr>
        <w:t xml:space="preserve">sermon, discourse and authorship, mechanical and industrial engineering works, research and occupational health fruitfully processed. </w:t>
      </w:r>
    </w:p>
    <w:p w:rsidR="00AE3E37" w:rsidRDefault="00A9710C">
      <w:pPr>
        <w:spacing w:before="62"/>
        <w:ind w:left="4217" w:right="4235"/>
        <w:jc w:val="center"/>
        <w:rPr>
          <w:rFonts w:ascii="Arial"/>
          <w:sz w:val="14"/>
        </w:rPr>
      </w:pPr>
      <w:r>
        <w:rPr>
          <w:rFonts w:ascii="Arial"/>
          <w:sz w:val="14"/>
        </w:rPr>
        <w:t xml:space="preserve">Email: </w:t>
      </w:r>
      <w:r w:rsidR="00263436" w:rsidRPr="00263436">
        <w:rPr>
          <w:rFonts w:ascii="Arial"/>
          <w:sz w:val="14"/>
        </w:rPr>
        <w:t>mequanint@mtu.edu.et</w:t>
      </w:r>
    </w:p>
    <w:p w:rsidR="00AE3E37" w:rsidRPr="0070716F" w:rsidRDefault="00292ED9" w:rsidP="0070716F">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6D958FD" wp14:editId="7B379A2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A9710C" w:rsidP="0070716F">
      <w:pPr>
        <w:spacing w:before="39"/>
        <w:ind w:left="100"/>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F41AB">
        <w:rPr>
          <w:sz w:val="20"/>
          <w:szCs w:val="20"/>
          <w:lang w:val="en-NZ"/>
        </w:rPr>
        <w:t xml:space="preserve">Mequanint </w:t>
      </w:r>
      <w:proofErr w:type="spellStart"/>
      <w:r w:rsidR="002F41AB">
        <w:rPr>
          <w:sz w:val="20"/>
          <w:szCs w:val="20"/>
          <w:lang w:val="en-NZ"/>
        </w:rPr>
        <w:t>Birhan</w:t>
      </w:r>
      <w:proofErr w:type="spellEnd"/>
      <w:r w:rsidRPr="00F35A62">
        <w:rPr>
          <w:sz w:val="20"/>
          <w:szCs w:val="20"/>
          <w:lang w:val="en-NZ"/>
        </w:rPr>
        <w:br/>
        <w:t>Contact number</w:t>
      </w:r>
      <w:proofErr w:type="gramStart"/>
      <w:r w:rsidRPr="00F35A62">
        <w:rPr>
          <w:sz w:val="20"/>
          <w:szCs w:val="20"/>
          <w:lang w:val="en-NZ"/>
        </w:rPr>
        <w:t>:</w:t>
      </w:r>
      <w:r w:rsidR="00CB2132">
        <w:rPr>
          <w:sz w:val="20"/>
          <w:szCs w:val="20"/>
          <w:lang w:val="en-NZ"/>
        </w:rPr>
        <w:t>+</w:t>
      </w:r>
      <w:proofErr w:type="gramEnd"/>
      <w:r w:rsidR="00CB2132">
        <w:rPr>
          <w:sz w:val="20"/>
          <w:szCs w:val="20"/>
          <w:lang w:val="en-NZ"/>
        </w:rPr>
        <w:t>251920246558</w:t>
      </w:r>
      <w:r w:rsidRPr="00F35A62">
        <w:rPr>
          <w:sz w:val="20"/>
          <w:szCs w:val="20"/>
          <w:lang w:val="en-NZ"/>
        </w:rPr>
        <w:br/>
        <w:t>Twitter account:</w:t>
      </w:r>
      <w:r w:rsidR="00CB2132" w:rsidRPr="00CB2132">
        <w:rPr>
          <w:sz w:val="20"/>
          <w:szCs w:val="20"/>
          <w:lang w:val="en-NZ"/>
        </w:rPr>
        <w:t xml:space="preserve"> </w:t>
      </w:r>
      <w:r w:rsidR="00CB2132">
        <w:rPr>
          <w:sz w:val="20"/>
          <w:szCs w:val="20"/>
          <w:lang w:val="en-NZ"/>
        </w:rPr>
        <w:t>+251920246558</w:t>
      </w:r>
      <w:r w:rsidRPr="00F35A62">
        <w:rPr>
          <w:sz w:val="20"/>
          <w:szCs w:val="20"/>
          <w:lang w:val="en-NZ"/>
        </w:rPr>
        <w:br/>
        <w:t>Linked In account:</w:t>
      </w:r>
      <w:r w:rsidR="00CB2132" w:rsidRPr="00CB2132">
        <w:rPr>
          <w:sz w:val="20"/>
          <w:szCs w:val="20"/>
          <w:lang w:val="en-NZ"/>
        </w:rPr>
        <w:t xml:space="preserve"> </w:t>
      </w:r>
      <w:r w:rsidR="00CB2132">
        <w:rPr>
          <w:sz w:val="20"/>
          <w:szCs w:val="20"/>
          <w:lang w:val="en-NZ"/>
        </w:rPr>
        <w:t>+251920246558</w:t>
      </w:r>
    </w:p>
    <w:p w:rsidR="00EA7D51" w:rsidRPr="00AA222C" w:rsidRDefault="00EA7D51" w:rsidP="00AA222C">
      <w:pPr>
        <w:autoSpaceDE w:val="0"/>
        <w:autoSpaceDN w:val="0"/>
        <w:adjustRightInd w:val="0"/>
        <w:rPr>
          <w:sz w:val="20"/>
          <w:szCs w:val="20"/>
          <w:lang w:val="en-NZ"/>
        </w:rPr>
        <w:sectPr w:rsidR="00EA7D51" w:rsidRPr="00AA222C" w:rsidSect="008E5477">
          <w:type w:val="continuous"/>
          <w:pgSz w:w="11910" w:h="16840"/>
          <w:pgMar w:top="995" w:right="600" w:bottom="840" w:left="620" w:header="720" w:footer="720" w:gutter="0"/>
          <w:cols w:space="720"/>
        </w:sectPr>
      </w:pPr>
      <w:r w:rsidRPr="00F35A62">
        <w:rPr>
          <w:sz w:val="20"/>
          <w:szCs w:val="20"/>
          <w:lang w:val="en-NZ"/>
        </w:rPr>
        <w:t>Se</w:t>
      </w:r>
      <w:r w:rsidR="00416BCD">
        <w:rPr>
          <w:sz w:val="20"/>
          <w:szCs w:val="20"/>
          <w:lang w:val="en-NZ"/>
        </w:rPr>
        <w:t xml:space="preserve">ssion name/ number: </w:t>
      </w:r>
      <w:r w:rsidR="00AA222C">
        <w:rPr>
          <w:sz w:val="20"/>
          <w:szCs w:val="20"/>
          <w:lang w:val="en-NZ"/>
        </w:rPr>
        <w:t>ES21</w:t>
      </w:r>
      <w:r w:rsidR="00416BCD">
        <w:rPr>
          <w:sz w:val="20"/>
          <w:szCs w:val="20"/>
          <w:lang w:val="en-NZ"/>
        </w:rPr>
        <w:br/>
        <w:t xml:space="preserve">Category: </w:t>
      </w:r>
      <w:r w:rsidRPr="00F35A62">
        <w:rPr>
          <w:sz w:val="20"/>
          <w:szCs w:val="20"/>
          <w:lang w:val="en-NZ"/>
        </w:rPr>
        <w:t>Oral pr</w:t>
      </w:r>
      <w:r w:rsidR="00416BCD">
        <w:rPr>
          <w:sz w:val="20"/>
          <w:szCs w:val="20"/>
          <w:lang w:val="en-NZ"/>
        </w:rPr>
        <w:t>esentation</w:t>
      </w:r>
      <w:r w:rsidRPr="00F35A62">
        <w:rPr>
          <w:sz w:val="20"/>
          <w:szCs w:val="20"/>
          <w:lang w:val="en-NZ"/>
        </w:rPr>
        <w:br/>
      </w:r>
    </w:p>
    <w:p w:rsidR="00AE3E37" w:rsidRDefault="00AE3E37" w:rsidP="00AA222C">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6DA" w:rsidRDefault="00DB66DA">
      <w:r>
        <w:separator/>
      </w:r>
    </w:p>
  </w:endnote>
  <w:endnote w:type="continuationSeparator" w:id="0">
    <w:p w:rsidR="00DB66DA" w:rsidRDefault="00DB6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6DA" w:rsidRDefault="00DB66DA">
      <w:r>
        <w:separator/>
      </w:r>
    </w:p>
  </w:footnote>
  <w:footnote w:type="continuationSeparator" w:id="0">
    <w:p w:rsidR="00DB66DA" w:rsidRDefault="00DB66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14620F"/>
    <w:multiLevelType w:val="hybridMultilevel"/>
    <w:tmpl w:val="0130F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LCwNDO0MDUyNTa1MLFQ0lEKTi0uzszPAykwrAUA1IyhFSwAAAA="/>
  </w:docVars>
  <w:rsids>
    <w:rsidRoot w:val="00AE3E37"/>
    <w:rsid w:val="000442BB"/>
    <w:rsid w:val="000534A1"/>
    <w:rsid w:val="0006797A"/>
    <w:rsid w:val="000B4CAA"/>
    <w:rsid w:val="000E2911"/>
    <w:rsid w:val="001263DF"/>
    <w:rsid w:val="001511C8"/>
    <w:rsid w:val="0017678D"/>
    <w:rsid w:val="00263436"/>
    <w:rsid w:val="00292ED9"/>
    <w:rsid w:val="002F41AB"/>
    <w:rsid w:val="00351D9B"/>
    <w:rsid w:val="00380299"/>
    <w:rsid w:val="00404E5B"/>
    <w:rsid w:val="00414F7B"/>
    <w:rsid w:val="00416BCD"/>
    <w:rsid w:val="004355DC"/>
    <w:rsid w:val="004749B4"/>
    <w:rsid w:val="00475D20"/>
    <w:rsid w:val="00494130"/>
    <w:rsid w:val="004F3523"/>
    <w:rsid w:val="00590D60"/>
    <w:rsid w:val="005973B9"/>
    <w:rsid w:val="005B3A56"/>
    <w:rsid w:val="006060CE"/>
    <w:rsid w:val="0061505C"/>
    <w:rsid w:val="0063497F"/>
    <w:rsid w:val="0070716F"/>
    <w:rsid w:val="00714354"/>
    <w:rsid w:val="00873DF0"/>
    <w:rsid w:val="008756E6"/>
    <w:rsid w:val="00897EC5"/>
    <w:rsid w:val="008A0763"/>
    <w:rsid w:val="008E5477"/>
    <w:rsid w:val="008E7E7B"/>
    <w:rsid w:val="009B2D44"/>
    <w:rsid w:val="009C6368"/>
    <w:rsid w:val="009D0673"/>
    <w:rsid w:val="00A07E82"/>
    <w:rsid w:val="00A52075"/>
    <w:rsid w:val="00A9710C"/>
    <w:rsid w:val="00AA222C"/>
    <w:rsid w:val="00AE3E37"/>
    <w:rsid w:val="00B21A57"/>
    <w:rsid w:val="00BE6743"/>
    <w:rsid w:val="00C200E1"/>
    <w:rsid w:val="00C33602"/>
    <w:rsid w:val="00C56C74"/>
    <w:rsid w:val="00CB2132"/>
    <w:rsid w:val="00CD6F55"/>
    <w:rsid w:val="00D17AF7"/>
    <w:rsid w:val="00D537EB"/>
    <w:rsid w:val="00DB66DA"/>
    <w:rsid w:val="00DE3104"/>
    <w:rsid w:val="00DE6170"/>
    <w:rsid w:val="00E30AAC"/>
    <w:rsid w:val="00E66FD3"/>
    <w:rsid w:val="00E95D97"/>
    <w:rsid w:val="00EA7D51"/>
    <w:rsid w:val="00F046EA"/>
    <w:rsid w:val="00F312EA"/>
    <w:rsid w:val="00F35A62"/>
    <w:rsid w:val="00F63419"/>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2022-06-28T13:23:00Z</dcterms:created>
  <dcterms:modified xsi:type="dcterms:W3CDTF">2022-06-28T13:23:00Z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