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60" w:lineRule="auto" w:before="60"/>
        <w:ind w:right="120"/>
      </w:pPr>
      <w:r>
        <w:rPr>
          <w:spacing w:val="-1"/>
        </w:rPr>
        <w:t>Title:</w:t>
      </w:r>
      <w:r>
        <w:rPr>
          <w:spacing w:val="-14"/>
        </w:rPr>
        <w:t> </w:t>
      </w:r>
      <w:r>
        <w:rPr>
          <w:spacing w:val="-1"/>
        </w:rPr>
        <w:t>First</w:t>
      </w:r>
      <w:r>
        <w:rPr>
          <w:spacing w:val="-14"/>
        </w:rPr>
        <w:t> </w:t>
      </w:r>
      <w:r>
        <w:rPr>
          <w:spacing w:val="-1"/>
        </w:rPr>
        <w:t>Report</w:t>
      </w:r>
      <w:r>
        <w:rPr>
          <w:spacing w:val="-14"/>
        </w:rPr>
        <w:t> </w:t>
      </w:r>
      <w:r>
        <w:rPr/>
        <w:t>on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Molecular</w:t>
      </w:r>
      <w:r>
        <w:rPr>
          <w:spacing w:val="-14"/>
        </w:rPr>
        <w:t> </w:t>
      </w:r>
      <w:r>
        <w:rPr/>
        <w:t>characterization</w:t>
      </w:r>
      <w:r>
        <w:rPr>
          <w:spacing w:val="-13"/>
        </w:rPr>
        <w:t> </w:t>
      </w:r>
      <w:r>
        <w:rPr/>
        <w:t>of</w:t>
      </w:r>
      <w:r>
        <w:rPr>
          <w:spacing w:val="-14"/>
        </w:rPr>
        <w:t> </w:t>
      </w:r>
      <w:r>
        <w:rPr/>
        <w:t>Enterobacteriaceae</w:t>
      </w:r>
      <w:r>
        <w:rPr>
          <w:spacing w:val="-11"/>
        </w:rPr>
        <w:t> </w:t>
      </w:r>
      <w:r>
        <w:rPr/>
        <w:t>isolated</w:t>
      </w:r>
      <w:r>
        <w:rPr>
          <w:spacing w:val="-13"/>
        </w:rPr>
        <w:t> </w:t>
      </w:r>
      <w:r>
        <w:rPr/>
        <w:t>from</w:t>
      </w:r>
      <w:r>
        <w:rPr>
          <w:spacing w:val="-58"/>
        </w:rPr>
        <w:t> </w:t>
      </w:r>
      <w:r>
        <w:rPr/>
        <w:t>gingivitis and periodontitis patients and the antimicrobial activity of mouth wash agents</w:t>
      </w:r>
      <w:r>
        <w:rPr>
          <w:spacing w:val="-57"/>
        </w:rPr>
        <w:t> </w:t>
      </w:r>
      <w:r>
        <w:rPr/>
        <w:t>in Nigeria</w:t>
      </w:r>
    </w:p>
    <w:p>
      <w:pPr>
        <w:spacing w:line="275" w:lineRule="exact" w:before="0"/>
        <w:ind w:left="100" w:right="0" w:firstLine="0"/>
        <w:jc w:val="both"/>
        <w:rPr>
          <w:sz w:val="24"/>
        </w:rPr>
      </w:pPr>
      <w:r>
        <w:rPr>
          <w:b/>
          <w:sz w:val="24"/>
        </w:rPr>
        <w:t>*</w:t>
      </w:r>
      <w:r>
        <w:rPr>
          <w:b/>
          <w:position w:val="8"/>
          <w:sz w:val="16"/>
        </w:rPr>
        <w:t>1</w:t>
      </w:r>
      <w:r>
        <w:rPr>
          <w:b/>
          <w:sz w:val="24"/>
        </w:rPr>
        <w:t>Moses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B.,</w:t>
      </w:r>
      <w:r>
        <w:rPr>
          <w:b/>
          <w:spacing w:val="-1"/>
          <w:sz w:val="24"/>
        </w:rPr>
        <w:t> </w:t>
      </w:r>
      <w:r>
        <w:rPr>
          <w:sz w:val="24"/>
          <w:vertAlign w:val="superscript"/>
        </w:rPr>
        <w:t>2</w:t>
      </w:r>
      <w:r>
        <w:rPr>
          <w:sz w:val="24"/>
          <w:vertAlign w:val="baseline"/>
        </w:rPr>
        <w:t>Mohammed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D. I.,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superscript"/>
        </w:rPr>
        <w:t>1</w:t>
      </w:r>
      <w:r>
        <w:rPr>
          <w:sz w:val="24"/>
          <w:vertAlign w:val="baseline"/>
        </w:rPr>
        <w:t>Iroha I.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R.</w:t>
      </w:r>
    </w:p>
    <w:p>
      <w:pPr>
        <w:pStyle w:val="Heading1"/>
        <w:spacing w:before="140"/>
        <w:jc w:val="left"/>
      </w:pPr>
      <w:r>
        <w:rPr/>
        <w:t>Authors’</w:t>
      </w:r>
      <w:r>
        <w:rPr>
          <w:spacing w:val="-4"/>
        </w:rPr>
        <w:t> </w:t>
      </w:r>
      <w:r>
        <w:rPr/>
        <w:t>affiliations</w:t>
      </w:r>
    </w:p>
    <w:p>
      <w:pPr>
        <w:pStyle w:val="BodyText"/>
        <w:spacing w:line="360" w:lineRule="auto" w:before="136"/>
        <w:ind w:right="164"/>
      </w:pPr>
      <w:r>
        <w:rPr>
          <w:vertAlign w:val="superscript"/>
        </w:rPr>
        <w:t>*1,1</w:t>
      </w:r>
      <w:r>
        <w:rPr>
          <w:vertAlign w:val="baseline"/>
        </w:rPr>
        <w:t>Department of Applied Microbiology, Faculty of Science, Ebonyi State University, P.M.B</w:t>
      </w:r>
      <w:r>
        <w:rPr>
          <w:spacing w:val="-57"/>
          <w:vertAlign w:val="baseline"/>
        </w:rPr>
        <w:t> </w:t>
      </w:r>
      <w:r>
        <w:rPr>
          <w:vertAlign w:val="baseline"/>
        </w:rPr>
        <w:t>053,</w:t>
      </w:r>
      <w:r>
        <w:rPr>
          <w:spacing w:val="-1"/>
          <w:vertAlign w:val="baseline"/>
        </w:rPr>
        <w:t> </w:t>
      </w:r>
      <w:r>
        <w:rPr>
          <w:vertAlign w:val="baseline"/>
        </w:rPr>
        <w:t>Abakaliki, Ebonyi State.</w:t>
      </w:r>
    </w:p>
    <w:p>
      <w:pPr>
        <w:pStyle w:val="BodyText"/>
        <w:spacing w:line="360" w:lineRule="auto" w:before="1"/>
        <w:ind w:right="559"/>
      </w:pPr>
      <w:r>
        <w:rPr>
          <w:vertAlign w:val="superscript"/>
        </w:rPr>
        <w:t>2</w:t>
      </w:r>
      <w:r>
        <w:rPr>
          <w:vertAlign w:val="baseline"/>
        </w:rPr>
        <w:t>Dental Nursing Department, Federal College of Dental Technology and Therapy, Trans-</w:t>
      </w:r>
      <w:r>
        <w:rPr>
          <w:spacing w:val="-57"/>
          <w:vertAlign w:val="baseline"/>
        </w:rPr>
        <w:t> </w:t>
      </w:r>
      <w:r>
        <w:rPr>
          <w:vertAlign w:val="baseline"/>
        </w:rPr>
        <w:t>Ekulu Enugu</w:t>
      </w:r>
    </w:p>
    <w:p>
      <w:pPr>
        <w:pStyle w:val="Heading1"/>
        <w:spacing w:line="360" w:lineRule="auto"/>
        <w:ind w:left="4166" w:right="2021" w:hanging="2168"/>
      </w:pPr>
      <w:r>
        <w:rPr/>
        <w:t>Presenter: Dr. Moses Ikechukwu Benjamin (Ph.D.)</w:t>
      </w:r>
      <w:r>
        <w:rPr>
          <w:spacing w:val="-57"/>
        </w:rPr>
        <w:t> </w:t>
      </w:r>
      <w:r>
        <w:rPr/>
        <w:t>Abstract</w:t>
      </w:r>
    </w:p>
    <w:p>
      <w:pPr>
        <w:pStyle w:val="BodyText"/>
        <w:spacing w:line="360" w:lineRule="auto"/>
        <w:ind w:right="115"/>
        <w:jc w:val="both"/>
      </w:pPr>
      <w:r>
        <w:rPr/>
        <w:t>Enterobacteriaceae </w:t>
      </w:r>
      <w:r>
        <w:rPr>
          <w:color w:val="121312"/>
        </w:rPr>
        <w:t>communities </w:t>
      </w:r>
      <w:r>
        <w:rPr/>
        <w:t>in gingival crevice </w:t>
      </w:r>
      <w:r>
        <w:rPr>
          <w:color w:val="121312"/>
        </w:rPr>
        <w:t>grow as biofilms (plaque) on teeth and</w:t>
      </w:r>
      <w:r>
        <w:rPr>
          <w:color w:val="121312"/>
          <w:spacing w:val="1"/>
        </w:rPr>
        <w:t> </w:t>
      </w:r>
      <w:r>
        <w:rPr>
          <w:color w:val="121312"/>
        </w:rPr>
        <w:t>gum</w:t>
      </w:r>
      <w:r>
        <w:rPr>
          <w:color w:val="121312"/>
          <w:spacing w:val="58"/>
        </w:rPr>
        <w:t> </w:t>
      </w:r>
      <w:r>
        <w:rPr>
          <w:color w:val="121312"/>
        </w:rPr>
        <w:t>surfaces</w:t>
      </w:r>
      <w:r>
        <w:rPr>
          <w:color w:val="121312"/>
          <w:spacing w:val="59"/>
        </w:rPr>
        <w:t> </w:t>
      </w:r>
      <w:r>
        <w:rPr>
          <w:color w:val="121312"/>
        </w:rPr>
        <w:t>in</w:t>
      </w:r>
      <w:r>
        <w:rPr>
          <w:color w:val="121312"/>
          <w:spacing w:val="59"/>
        </w:rPr>
        <w:t> </w:t>
      </w:r>
      <w:r>
        <w:rPr>
          <w:color w:val="121312"/>
        </w:rPr>
        <w:t>periodontal</w:t>
      </w:r>
      <w:r>
        <w:rPr>
          <w:color w:val="121312"/>
          <w:spacing w:val="58"/>
        </w:rPr>
        <w:t> </w:t>
      </w:r>
      <w:r>
        <w:rPr>
          <w:color w:val="121312"/>
        </w:rPr>
        <w:t>pockets;</w:t>
      </w:r>
      <w:r>
        <w:rPr>
          <w:color w:val="121312"/>
          <w:spacing w:val="59"/>
        </w:rPr>
        <w:t> </w:t>
      </w:r>
      <w:r>
        <w:rPr>
          <w:color w:val="121312"/>
        </w:rPr>
        <w:t>and</w:t>
      </w:r>
      <w:r>
        <w:rPr>
          <w:color w:val="121312"/>
          <w:spacing w:val="58"/>
        </w:rPr>
        <w:t> </w:t>
      </w:r>
      <w:r>
        <w:rPr>
          <w:color w:val="121312"/>
        </w:rPr>
        <w:t>are</w:t>
      </w:r>
      <w:r>
        <w:rPr>
          <w:color w:val="121312"/>
          <w:spacing w:val="56"/>
        </w:rPr>
        <w:t> </w:t>
      </w:r>
      <w:r>
        <w:rPr>
          <w:color w:val="121312"/>
        </w:rPr>
        <w:t>implicated</w:t>
      </w:r>
      <w:r>
        <w:rPr>
          <w:color w:val="121312"/>
          <w:spacing w:val="58"/>
        </w:rPr>
        <w:t> </w:t>
      </w:r>
      <w:r>
        <w:rPr>
          <w:color w:val="121312"/>
        </w:rPr>
        <w:t>in</w:t>
      </w:r>
      <w:r>
        <w:rPr>
          <w:color w:val="121312"/>
          <w:spacing w:val="4"/>
        </w:rPr>
        <w:t> </w:t>
      </w:r>
      <w:r>
        <w:rPr/>
        <w:t>chronic</w:t>
      </w:r>
      <w:r>
        <w:rPr>
          <w:spacing w:val="57"/>
        </w:rPr>
        <w:t> </w:t>
      </w:r>
      <w:r>
        <w:rPr/>
        <w:t>periodontitis</w:t>
      </w:r>
      <w:r>
        <w:rPr>
          <w:spacing w:val="59"/>
        </w:rPr>
        <w:t> </w:t>
      </w:r>
      <w:r>
        <w:rPr/>
        <w:t>due</w:t>
      </w:r>
      <w:r>
        <w:rPr>
          <w:spacing w:val="57"/>
        </w:rPr>
        <w:t> </w:t>
      </w:r>
      <w:r>
        <w:rPr/>
        <w:t>to</w:t>
      </w:r>
      <w:r>
        <w:rPr>
          <w:spacing w:val="-58"/>
        </w:rPr>
        <w:t> </w:t>
      </w:r>
      <w:r>
        <w:rPr/>
        <w:t>periodontal therapy failure</w:t>
      </w:r>
      <w:r>
        <w:rPr>
          <w:color w:val="121312"/>
        </w:rPr>
        <w:t>. </w:t>
      </w:r>
      <w:r>
        <w:rPr/>
        <w:t>This study was designed to determine the frequency of antibiotic</w:t>
      </w:r>
      <w:r>
        <w:rPr>
          <w:spacing w:val="1"/>
        </w:rPr>
        <w:t> </w:t>
      </w:r>
      <w:r>
        <w:rPr/>
        <w:t>resistant</w:t>
      </w:r>
      <w:r>
        <w:rPr>
          <w:spacing w:val="-10"/>
        </w:rPr>
        <w:t> </w:t>
      </w:r>
      <w:r>
        <w:rPr/>
        <w:t>genes</w:t>
      </w:r>
      <w:r>
        <w:rPr>
          <w:spacing w:val="-9"/>
        </w:rPr>
        <w:t> </w:t>
      </w:r>
      <w:r>
        <w:rPr/>
        <w:t>in</w:t>
      </w:r>
      <w:r>
        <w:rPr>
          <w:spacing w:val="-9"/>
        </w:rPr>
        <w:t> </w:t>
      </w:r>
      <w:r>
        <w:rPr/>
        <w:t>Enterobacteriaceae</w:t>
      </w:r>
      <w:r>
        <w:rPr>
          <w:spacing w:val="-10"/>
        </w:rPr>
        <w:t> </w:t>
      </w:r>
      <w:r>
        <w:rPr/>
        <w:t>isolated</w:t>
      </w:r>
      <w:r>
        <w:rPr>
          <w:spacing w:val="-10"/>
        </w:rPr>
        <w:t> </w:t>
      </w:r>
      <w:r>
        <w:rPr/>
        <w:t>from</w:t>
      </w:r>
      <w:r>
        <w:rPr>
          <w:spacing w:val="-7"/>
        </w:rPr>
        <w:t> </w:t>
      </w:r>
      <w:r>
        <w:rPr/>
        <w:t>gingivitis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chronic</w:t>
      </w:r>
      <w:r>
        <w:rPr>
          <w:spacing w:val="-11"/>
        </w:rPr>
        <w:t> </w:t>
      </w:r>
      <w:r>
        <w:rPr/>
        <w:t>periodontitis</w:t>
      </w:r>
      <w:r>
        <w:rPr>
          <w:spacing w:val="-9"/>
        </w:rPr>
        <w:t> </w:t>
      </w:r>
      <w:r>
        <w:rPr/>
        <w:t>patients</w:t>
      </w:r>
      <w:r>
        <w:rPr>
          <w:spacing w:val="-58"/>
        </w:rPr>
        <w:t> </w:t>
      </w:r>
      <w:r>
        <w:rPr>
          <w:sz w:val="22"/>
        </w:rPr>
        <w:t>visiting</w:t>
      </w:r>
      <w:r>
        <w:rPr>
          <w:spacing w:val="-5"/>
          <w:sz w:val="22"/>
        </w:rPr>
        <w:t> </w:t>
      </w:r>
      <w:r>
        <w:rPr>
          <w:sz w:val="22"/>
        </w:rPr>
        <w:t>dental</w:t>
      </w:r>
      <w:r>
        <w:rPr>
          <w:spacing w:val="-2"/>
          <w:sz w:val="22"/>
        </w:rPr>
        <w:t> </w:t>
      </w:r>
      <w:r>
        <w:rPr>
          <w:sz w:val="22"/>
        </w:rPr>
        <w:t>clinics</w:t>
      </w:r>
      <w:r>
        <w:rPr>
          <w:spacing w:val="-3"/>
          <w:sz w:val="22"/>
        </w:rPr>
        <w:t> </w:t>
      </w:r>
      <w:r>
        <w:rPr>
          <w:sz w:val="22"/>
        </w:rPr>
        <w:t>(FCDT</w:t>
      </w:r>
      <w:r>
        <w:rPr>
          <w:spacing w:val="-1"/>
          <w:sz w:val="22"/>
        </w:rPr>
        <w:t> </w:t>
      </w:r>
      <w:r>
        <w:rPr>
          <w:sz w:val="22"/>
        </w:rPr>
        <w:t>&amp;</w:t>
      </w:r>
      <w:r>
        <w:rPr>
          <w:spacing w:val="-3"/>
          <w:sz w:val="22"/>
        </w:rPr>
        <w:t> </w:t>
      </w:r>
      <w:r>
        <w:rPr>
          <w:sz w:val="22"/>
        </w:rPr>
        <w:t>T)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Enugu,</w:t>
      </w:r>
      <w:r>
        <w:rPr>
          <w:spacing w:val="-2"/>
          <w:sz w:val="22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antibacterial</w:t>
      </w:r>
      <w:r>
        <w:rPr>
          <w:spacing w:val="-1"/>
        </w:rPr>
        <w:t> </w:t>
      </w:r>
      <w:r>
        <w:rPr/>
        <w:t>activity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some</w:t>
      </w:r>
      <w:r>
        <w:rPr>
          <w:spacing w:val="-2"/>
        </w:rPr>
        <w:t> </w:t>
      </w:r>
      <w:r>
        <w:rPr/>
        <w:t>commercially-</w:t>
      </w:r>
      <w:r>
        <w:rPr>
          <w:spacing w:val="-58"/>
        </w:rPr>
        <w:t> </w:t>
      </w:r>
      <w:r>
        <w:rPr/>
        <w:t>produced mouth washing agents. A total of 178 clinical enterobacteria species previously</w:t>
      </w:r>
      <w:r>
        <w:rPr>
          <w:spacing w:val="1"/>
        </w:rPr>
        <w:t> </w:t>
      </w:r>
      <w:r>
        <w:rPr/>
        <w:t>isolated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characterized</w:t>
      </w:r>
      <w:r>
        <w:rPr>
          <w:spacing w:val="-11"/>
        </w:rPr>
        <w:t> </w:t>
      </w:r>
      <w:r>
        <w:rPr/>
        <w:t>from</w:t>
      </w:r>
      <w:r>
        <w:rPr>
          <w:spacing w:val="-12"/>
        </w:rPr>
        <w:t> </w:t>
      </w:r>
      <w:r>
        <w:rPr/>
        <w:t>gingivitis</w:t>
      </w:r>
      <w:r>
        <w:rPr>
          <w:spacing w:val="-10"/>
        </w:rPr>
        <w:t> </w:t>
      </w:r>
      <w:r>
        <w:rPr/>
        <w:t>and</w:t>
      </w:r>
      <w:r>
        <w:rPr>
          <w:spacing w:val="-12"/>
        </w:rPr>
        <w:t> </w:t>
      </w:r>
      <w:r>
        <w:rPr/>
        <w:t>periodontitis</w:t>
      </w:r>
      <w:r>
        <w:rPr>
          <w:spacing w:val="-11"/>
        </w:rPr>
        <w:t> </w:t>
      </w:r>
      <w:r>
        <w:rPr/>
        <w:t>patients</w:t>
      </w:r>
      <w:r>
        <w:rPr>
          <w:spacing w:val="-11"/>
        </w:rPr>
        <w:t> </w:t>
      </w:r>
      <w:r>
        <w:rPr/>
        <w:t>comprising</w:t>
      </w:r>
      <w:r>
        <w:rPr>
          <w:spacing w:val="-6"/>
        </w:rPr>
        <w:t> </w:t>
      </w:r>
      <w:r>
        <w:rPr>
          <w:i/>
        </w:rPr>
        <w:t>K.</w:t>
      </w:r>
      <w:r>
        <w:rPr>
          <w:i/>
          <w:spacing w:val="-12"/>
        </w:rPr>
        <w:t> </w:t>
      </w:r>
      <w:r>
        <w:rPr>
          <w:i/>
        </w:rPr>
        <w:t>pneumoniae</w:t>
      </w:r>
      <w:r>
        <w:rPr>
          <w:i/>
          <w:spacing w:val="-58"/>
        </w:rPr>
        <w:t> </w:t>
      </w:r>
      <w:r>
        <w:rPr/>
        <w:t>(n=65), </w:t>
      </w:r>
      <w:r>
        <w:rPr>
          <w:i/>
        </w:rPr>
        <w:t>E. coli </w:t>
      </w:r>
      <w:r>
        <w:rPr/>
        <w:t>(n=44), </w:t>
      </w:r>
      <w:r>
        <w:rPr>
          <w:i/>
        </w:rPr>
        <w:t>Salmonella </w:t>
      </w:r>
      <w:r>
        <w:rPr/>
        <w:t>species (n=35) and </w:t>
      </w:r>
      <w:r>
        <w:rPr>
          <w:i/>
        </w:rPr>
        <w:t>K. oxytoca </w:t>
      </w:r>
      <w:r>
        <w:rPr/>
        <w:t>(n=34) were collected.</w:t>
      </w:r>
      <w:r>
        <w:rPr>
          <w:spacing w:val="1"/>
        </w:rPr>
        <w:t> </w:t>
      </w:r>
      <w:r>
        <w:rPr/>
        <w:t>Isolated</w:t>
      </w:r>
      <w:r>
        <w:rPr>
          <w:spacing w:val="-5"/>
        </w:rPr>
        <w:t> </w:t>
      </w:r>
      <w:r>
        <w:rPr/>
        <w:t>bacteria</w:t>
      </w:r>
      <w:r>
        <w:rPr>
          <w:spacing w:val="-1"/>
        </w:rPr>
        <w:t> </w:t>
      </w:r>
      <w:r>
        <w:rPr/>
        <w:t>were</w:t>
      </w:r>
      <w:r>
        <w:rPr>
          <w:spacing w:val="-5"/>
        </w:rPr>
        <w:t> </w:t>
      </w:r>
      <w:r>
        <w:rPr/>
        <w:t>re-characterized</w:t>
      </w:r>
      <w:r>
        <w:rPr>
          <w:spacing w:val="-4"/>
        </w:rPr>
        <w:t> </w:t>
      </w:r>
      <w:r>
        <w:rPr/>
        <w:t>using</w:t>
      </w:r>
      <w:r>
        <w:rPr>
          <w:spacing w:val="-3"/>
        </w:rPr>
        <w:t> </w:t>
      </w:r>
      <w:r>
        <w:rPr/>
        <w:t>standard</w:t>
      </w:r>
      <w:r>
        <w:rPr>
          <w:spacing w:val="-6"/>
        </w:rPr>
        <w:t> </w:t>
      </w:r>
      <w:r>
        <w:rPr/>
        <w:t>microbiology</w:t>
      </w:r>
      <w:r>
        <w:rPr>
          <w:spacing w:val="-4"/>
        </w:rPr>
        <w:t> </w:t>
      </w:r>
      <w:r>
        <w:rPr/>
        <w:t>procedures</w:t>
      </w:r>
      <w:r>
        <w:rPr>
          <w:spacing w:val="-4"/>
        </w:rPr>
        <w:t> </w:t>
      </w:r>
      <w:r>
        <w:rPr/>
        <w:t>which</w:t>
      </w:r>
      <w:r>
        <w:rPr>
          <w:spacing w:val="-4"/>
        </w:rPr>
        <w:t> </w:t>
      </w:r>
      <w:r>
        <w:rPr/>
        <w:t>include</w:t>
      </w:r>
      <w:r>
        <w:rPr>
          <w:spacing w:val="-58"/>
        </w:rPr>
        <w:t> </w:t>
      </w:r>
      <w:r>
        <w:rPr/>
        <w:t>culturing, Gram staining, biochemical test, and sugar fermentation test. Antibacterial activity</w:t>
      </w:r>
      <w:r>
        <w:rPr>
          <w:spacing w:val="1"/>
        </w:rPr>
        <w:t> </w:t>
      </w:r>
      <w:r>
        <w:rPr/>
        <w:t>of selected brands of mouth wash agents namely, Oral B, Pearl drop smoker, Dentyl active,</w:t>
      </w:r>
      <w:r>
        <w:rPr>
          <w:spacing w:val="1"/>
        </w:rPr>
        <w:t> </w:t>
      </w:r>
      <w:r>
        <w:rPr/>
        <w:t>and Listerine, were assessed by agar well diffusion assay. Screening for the presence of</w:t>
      </w:r>
      <w:r>
        <w:rPr>
          <w:spacing w:val="1"/>
        </w:rPr>
        <w:t> </w:t>
      </w:r>
      <w:r>
        <w:rPr>
          <w:i/>
        </w:rPr>
        <w:t>bla</w:t>
      </w:r>
      <w:r>
        <w:rPr/>
        <w:t>CTX-M, </w:t>
      </w:r>
      <w:r>
        <w:rPr>
          <w:i/>
        </w:rPr>
        <w:t>bla</w:t>
      </w:r>
      <w:r>
        <w:rPr/>
        <w:t>SHV, and </w:t>
      </w:r>
      <w:r>
        <w:rPr>
          <w:i/>
        </w:rPr>
        <w:t>bla</w:t>
      </w:r>
      <w:r>
        <w:rPr/>
        <w:t>OXA resistance genes was done by polymerase chain reaction</w:t>
      </w:r>
      <w:r>
        <w:rPr>
          <w:spacing w:val="1"/>
        </w:rPr>
        <w:t> </w:t>
      </w:r>
      <w:r>
        <w:rPr/>
        <w:t>(PCR). The mouth wash agents used in this study had antibacterial activity against isolated</w:t>
      </w:r>
      <w:r>
        <w:rPr>
          <w:spacing w:val="1"/>
        </w:rPr>
        <w:t> </w:t>
      </w:r>
      <w:r>
        <w:rPr/>
        <w:t>enterobacteria species at various concentrations with the highest inhibitory zone diameter</w:t>
      </w:r>
      <w:r>
        <w:rPr>
          <w:spacing w:val="1"/>
        </w:rPr>
        <w:t> </w:t>
      </w:r>
      <w:r>
        <w:rPr/>
        <w:t>(IZD) of 23 mm recorded for </w:t>
      </w:r>
      <w:r>
        <w:rPr>
          <w:i/>
        </w:rPr>
        <w:t>Salmonella </w:t>
      </w:r>
      <w:r>
        <w:rPr/>
        <w:t>species. PCR analysis revealed the presence of</w:t>
      </w:r>
      <w:r>
        <w:rPr>
          <w:spacing w:val="1"/>
        </w:rPr>
        <w:t> </w:t>
      </w:r>
      <w:r>
        <w:rPr>
          <w:i/>
        </w:rPr>
        <w:t>blaCTX-M </w:t>
      </w:r>
      <w:r>
        <w:rPr/>
        <w:t>(100 %), </w:t>
      </w:r>
      <w:r>
        <w:rPr>
          <w:i/>
        </w:rPr>
        <w:t>blaOXA </w:t>
      </w:r>
      <w:r>
        <w:rPr/>
        <w:t>(100 %), and </w:t>
      </w:r>
      <w:r>
        <w:rPr>
          <w:i/>
        </w:rPr>
        <w:t>blaSHV </w:t>
      </w:r>
      <w:r>
        <w:rPr/>
        <w:t>(92.4 %) genes respectively in the isolated</w:t>
      </w:r>
      <w:r>
        <w:rPr>
          <w:spacing w:val="-57"/>
        </w:rPr>
        <w:t> </w:t>
      </w:r>
      <w:r>
        <w:rPr/>
        <w:t>enterobacteria species.</w:t>
      </w:r>
      <w:r>
        <w:rPr>
          <w:spacing w:val="1"/>
        </w:rPr>
        <w:t> </w:t>
      </w:r>
      <w:r>
        <w:rPr/>
        <w:t>Enterobacteriaceae that</w:t>
      </w:r>
      <w:r>
        <w:rPr>
          <w:spacing w:val="1"/>
        </w:rPr>
        <w:t> </w:t>
      </w:r>
      <w:r>
        <w:rPr/>
        <w:t>harbour different antibiotic-resistant genes</w:t>
      </w:r>
      <w:r>
        <w:rPr>
          <w:spacing w:val="1"/>
        </w:rPr>
        <w:t> </w:t>
      </w:r>
      <w:r>
        <w:rPr/>
        <w:t>were present in periodontitis and gingivitis patients visiting </w:t>
      </w:r>
      <w:r>
        <w:rPr>
          <w:sz w:val="22"/>
        </w:rPr>
        <w:t>FCDT &amp; T, </w:t>
      </w:r>
      <w:r>
        <w:rPr/>
        <w:t>Enugu. This might</w:t>
      </w:r>
      <w:r>
        <w:rPr>
          <w:spacing w:val="1"/>
        </w:rPr>
        <w:t> </w:t>
      </w:r>
      <w:r>
        <w:rPr/>
        <w:t>possibly contribute to the destruction of gingival and periodontal tissues, and the spreading of</w:t>
      </w:r>
      <w:r>
        <w:rPr>
          <w:spacing w:val="-57"/>
        </w:rPr>
        <w:t> </w:t>
      </w:r>
      <w:r>
        <w:rPr/>
        <w:t>multidrug-resistant</w:t>
      </w:r>
      <w:r>
        <w:rPr>
          <w:spacing w:val="-1"/>
        </w:rPr>
        <w:t> </w:t>
      </w:r>
      <w:r>
        <w:rPr/>
        <w:t>bacterial strains</w:t>
      </w:r>
      <w:r>
        <w:rPr>
          <w:spacing w:val="-1"/>
        </w:rPr>
        <w:t> </w:t>
      </w:r>
      <w:r>
        <w:rPr/>
        <w:t>in patients,</w:t>
      </w:r>
      <w:r>
        <w:rPr>
          <w:spacing w:val="-1"/>
        </w:rPr>
        <w:t> </w:t>
      </w:r>
      <w:r>
        <w:rPr/>
        <w:t>thus making</w:t>
      </w:r>
      <w:r>
        <w:rPr>
          <w:spacing w:val="-1"/>
        </w:rPr>
        <w:t> </w:t>
      </w:r>
      <w:r>
        <w:rPr/>
        <w:t>treatment difficult.</w:t>
      </w:r>
    </w:p>
    <w:p>
      <w:pPr>
        <w:spacing w:after="0" w:line="360" w:lineRule="auto"/>
        <w:jc w:val="both"/>
        <w:sectPr>
          <w:type w:val="continuous"/>
          <w:pgSz w:w="11910" w:h="16840"/>
          <w:pgMar w:top="1360" w:bottom="280" w:left="1340" w:right="1320"/>
        </w:sectPr>
      </w:pPr>
    </w:p>
    <w:p>
      <w:pPr>
        <w:pStyle w:val="BodyText"/>
        <w:spacing w:line="360" w:lineRule="auto" w:before="60"/>
        <w:ind w:right="116"/>
        <w:jc w:val="both"/>
      </w:pPr>
      <w:r>
        <w:rPr>
          <w:b/>
        </w:rPr>
        <w:t>Biography:</w:t>
      </w:r>
      <w:r>
        <w:rPr>
          <w:b/>
          <w:spacing w:val="-10"/>
        </w:rPr>
        <w:t> </w:t>
      </w:r>
      <w:r>
        <w:rPr>
          <w:b/>
        </w:rPr>
        <w:t>Dr.</w:t>
      </w:r>
      <w:r>
        <w:rPr>
          <w:b/>
          <w:spacing w:val="-9"/>
        </w:rPr>
        <w:t> </w:t>
      </w:r>
      <w:r>
        <w:rPr>
          <w:b/>
        </w:rPr>
        <w:t>Moses</w:t>
      </w:r>
      <w:r>
        <w:rPr>
          <w:b/>
          <w:spacing w:val="-8"/>
        </w:rPr>
        <w:t> </w:t>
      </w:r>
      <w:r>
        <w:rPr>
          <w:b/>
        </w:rPr>
        <w:t>Ikechukwu</w:t>
      </w:r>
      <w:r>
        <w:rPr>
          <w:b/>
          <w:spacing w:val="-9"/>
        </w:rPr>
        <w:t> </w:t>
      </w:r>
      <w:r>
        <w:rPr>
          <w:b/>
        </w:rPr>
        <w:t>Benjamin</w:t>
      </w:r>
      <w:r>
        <w:rPr>
          <w:b/>
          <w:spacing w:val="-5"/>
        </w:rPr>
        <w:t> </w:t>
      </w:r>
      <w:r>
        <w:rPr/>
        <w:t>obtained</w:t>
      </w:r>
      <w:r>
        <w:rPr>
          <w:spacing w:val="-9"/>
        </w:rPr>
        <w:t> </w:t>
      </w:r>
      <w:r>
        <w:rPr/>
        <w:t>his</w:t>
      </w:r>
      <w:r>
        <w:rPr>
          <w:spacing w:val="-8"/>
        </w:rPr>
        <w:t> </w:t>
      </w:r>
      <w:r>
        <w:rPr/>
        <w:t>Ph.D.</w:t>
      </w:r>
      <w:r>
        <w:rPr>
          <w:spacing w:val="-9"/>
        </w:rPr>
        <w:t> </w:t>
      </w:r>
      <w:r>
        <w:rPr/>
        <w:t>degree</w:t>
      </w:r>
      <w:r>
        <w:rPr>
          <w:spacing w:val="-10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9"/>
        </w:rPr>
        <w:t> </w:t>
      </w: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57"/>
        </w:rPr>
        <w:t> </w:t>
      </w:r>
      <w:r>
        <w:rPr/>
        <w:t>Pharmaceutical</w:t>
      </w:r>
      <w:r>
        <w:rPr>
          <w:spacing w:val="1"/>
        </w:rPr>
        <w:t> </w:t>
      </w:r>
      <w:r>
        <w:rPr/>
        <w:t>Microbiology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Biotechnology,</w:t>
      </w:r>
      <w:r>
        <w:rPr>
          <w:spacing w:val="1"/>
        </w:rPr>
        <w:t> </w:t>
      </w:r>
      <w:r>
        <w:rPr/>
        <w:t>Faculty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Pharmaceutical</w:t>
      </w:r>
      <w:r>
        <w:rPr>
          <w:spacing w:val="1"/>
        </w:rPr>
        <w:t> </w:t>
      </w:r>
      <w:r>
        <w:rPr/>
        <w:t>Sciences,</w:t>
      </w:r>
      <w:r>
        <w:rPr>
          <w:spacing w:val="1"/>
        </w:rPr>
        <w:t> </w:t>
      </w:r>
      <w:r>
        <w:rPr/>
        <w:t>Nnamdi</w:t>
      </w:r>
      <w:r>
        <w:rPr>
          <w:spacing w:val="1"/>
        </w:rPr>
        <w:t> </w:t>
      </w:r>
      <w:r>
        <w:rPr/>
        <w:t>Azikiwe</w:t>
      </w:r>
      <w:r>
        <w:rPr>
          <w:spacing w:val="1"/>
        </w:rPr>
        <w:t> </w:t>
      </w:r>
      <w:r>
        <w:rPr/>
        <w:t>University,</w:t>
      </w:r>
      <w:r>
        <w:rPr>
          <w:spacing w:val="1"/>
        </w:rPr>
        <w:t> </w:t>
      </w:r>
      <w:r>
        <w:rPr/>
        <w:t>Awka,</w:t>
      </w:r>
      <w:r>
        <w:rPr>
          <w:spacing w:val="1"/>
        </w:rPr>
        <w:t> </w:t>
      </w:r>
      <w:r>
        <w:rPr/>
        <w:t>Nigeria.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current</w:t>
      </w:r>
      <w:r>
        <w:rPr>
          <w:spacing w:val="1"/>
        </w:rPr>
        <w:t> </w:t>
      </w:r>
      <w:r>
        <w:rPr/>
        <w:t>research</w:t>
      </w:r>
      <w:r>
        <w:rPr>
          <w:spacing w:val="1"/>
        </w:rPr>
        <w:t> </w:t>
      </w:r>
      <w:r>
        <w:rPr/>
        <w:t>activities</w:t>
      </w:r>
      <w:r>
        <w:rPr>
          <w:spacing w:val="1"/>
        </w:rPr>
        <w:t> </w:t>
      </w:r>
      <w:r>
        <w:rPr/>
        <w:t>focus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antimicrobial</w:t>
      </w:r>
      <w:r>
        <w:rPr>
          <w:spacing w:val="1"/>
        </w:rPr>
        <w:t> </w:t>
      </w:r>
      <w:r>
        <w:rPr/>
        <w:t>resistance</w:t>
      </w:r>
      <w:r>
        <w:rPr>
          <w:spacing w:val="1"/>
        </w:rPr>
        <w:t> </w:t>
      </w:r>
      <w:r>
        <w:rPr/>
        <w:t>surveillance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mechanisms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microorganisms</w:t>
      </w:r>
      <w:r>
        <w:rPr>
          <w:spacing w:val="1"/>
        </w:rPr>
        <w:t> </w:t>
      </w:r>
      <w:r>
        <w:rPr/>
        <w:t>employ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inactivating potent antimicrobials, and the development of alternative therapeutic approaches</w:t>
      </w:r>
      <w:r>
        <w:rPr>
          <w:spacing w:val="1"/>
        </w:rPr>
        <w:t> </w:t>
      </w:r>
      <w:r>
        <w:rPr/>
        <w:t>to curtail the continued increase in antimicrobial resistance menace in human and veterinary</w:t>
      </w:r>
      <w:r>
        <w:rPr>
          <w:spacing w:val="1"/>
        </w:rPr>
        <w:t> </w:t>
      </w:r>
      <w:r>
        <w:rPr/>
        <w:t>medicine. Presently, he is a Lecturer/Researcher in the Department of Applied Microbiology,</w:t>
      </w:r>
      <w:r>
        <w:rPr>
          <w:spacing w:val="1"/>
        </w:rPr>
        <w:t> </w:t>
      </w:r>
      <w:r>
        <w:rPr/>
        <w:t>Faculty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Sciences,</w:t>
      </w:r>
      <w:r>
        <w:rPr>
          <w:spacing w:val="-6"/>
        </w:rPr>
        <w:t> </w:t>
      </w:r>
      <w:r>
        <w:rPr/>
        <w:t>Ebonyi</w:t>
      </w:r>
      <w:r>
        <w:rPr>
          <w:spacing w:val="-7"/>
        </w:rPr>
        <w:t> </w:t>
      </w:r>
      <w:r>
        <w:rPr/>
        <w:t>State</w:t>
      </w:r>
      <w:r>
        <w:rPr>
          <w:spacing w:val="-10"/>
        </w:rPr>
        <w:t> </w:t>
      </w:r>
      <w:r>
        <w:rPr/>
        <w:t>University,</w:t>
      </w:r>
      <w:r>
        <w:rPr>
          <w:spacing w:val="-6"/>
        </w:rPr>
        <w:t> </w:t>
      </w:r>
      <w:r>
        <w:rPr/>
        <w:t>Nigeria.</w:t>
      </w:r>
      <w:r>
        <w:rPr>
          <w:spacing w:val="-2"/>
        </w:rPr>
        <w:t> </w:t>
      </w:r>
      <w:r>
        <w:rPr/>
        <w:t>He</w:t>
      </w:r>
      <w:r>
        <w:rPr>
          <w:spacing w:val="-10"/>
        </w:rPr>
        <w:t> </w:t>
      </w:r>
      <w:r>
        <w:rPr/>
        <w:t>has</w:t>
      </w:r>
      <w:r>
        <w:rPr>
          <w:spacing w:val="-8"/>
        </w:rPr>
        <w:t> </w:t>
      </w:r>
      <w:r>
        <w:rPr/>
        <w:t>published</w:t>
      </w:r>
      <w:r>
        <w:rPr>
          <w:spacing w:val="-6"/>
        </w:rPr>
        <w:t> </w:t>
      </w:r>
      <w:r>
        <w:rPr/>
        <w:t>more</w:t>
      </w:r>
      <w:r>
        <w:rPr>
          <w:spacing w:val="-10"/>
        </w:rPr>
        <w:t> </w:t>
      </w:r>
      <w:r>
        <w:rPr/>
        <w:t>than</w:t>
      </w:r>
      <w:r>
        <w:rPr>
          <w:spacing w:val="-5"/>
        </w:rPr>
        <w:t> </w:t>
      </w:r>
      <w:r>
        <w:rPr/>
        <w:t>60</w:t>
      </w:r>
      <w:r>
        <w:rPr>
          <w:spacing w:val="-5"/>
        </w:rPr>
        <w:t> </w:t>
      </w:r>
      <w:r>
        <w:rPr/>
        <w:t>research</w:t>
      </w:r>
      <w:r>
        <w:rPr>
          <w:spacing w:val="-58"/>
        </w:rPr>
        <w:t> </w:t>
      </w:r>
      <w:r>
        <w:rPr/>
        <w:t>articles.</w:t>
      </w:r>
    </w:p>
    <w:p>
      <w:pPr>
        <w:pStyle w:val="BodyText"/>
        <w:ind w:left="5860"/>
        <w:rPr>
          <w:sz w:val="20"/>
        </w:rPr>
      </w:pPr>
      <w:r>
        <w:rPr>
          <w:sz w:val="20"/>
        </w:rPr>
        <w:drawing>
          <wp:inline distT="0" distB="0" distL="0" distR="0">
            <wp:extent cx="2001158" cy="1969770"/>
            <wp:effectExtent l="0" t="0" r="0" b="0"/>
            <wp:docPr id="1" name="image1.jpeg" descr="C:\Users\USER\Desktop\pix\_MG_5840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1158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1"/>
        </w:rPr>
      </w:pPr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Email:</w:t>
      </w:r>
      <w:r>
        <w:rPr>
          <w:b/>
          <w:spacing w:val="-3"/>
          <w:sz w:val="24"/>
        </w:rPr>
        <w:t> </w:t>
      </w:r>
      <w:hyperlink r:id="rId6">
        <w:r>
          <w:rPr>
            <w:sz w:val="24"/>
          </w:rPr>
          <w:t>ikechukwu.moses@ebsu.edu.ng</w:t>
        </w:r>
      </w:hyperlink>
    </w:p>
    <w:p>
      <w:pPr>
        <w:spacing w:before="137"/>
        <w:ind w:left="100" w:right="0" w:firstLine="0"/>
        <w:jc w:val="left"/>
        <w:rPr>
          <w:sz w:val="24"/>
        </w:rPr>
      </w:pPr>
      <w:r>
        <w:rPr>
          <w:b/>
          <w:sz w:val="24"/>
        </w:rPr>
        <w:t>Alternative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email:</w:t>
      </w:r>
      <w:r>
        <w:rPr>
          <w:b/>
          <w:spacing w:val="-2"/>
          <w:sz w:val="24"/>
        </w:rPr>
        <w:t> </w:t>
      </w:r>
      <w:hyperlink r:id="rId7">
        <w:r>
          <w:rPr>
            <w:sz w:val="24"/>
          </w:rPr>
          <w:t>ben_iyke70@yahoo.com</w:t>
        </w:r>
      </w:hyperlink>
    </w:p>
    <w:p>
      <w:pPr>
        <w:pStyle w:val="BodyText"/>
        <w:spacing w:before="139"/>
      </w:pPr>
      <w:r>
        <w:rPr>
          <w:b/>
        </w:rPr>
        <w:t>Linkedin:</w:t>
      </w:r>
      <w:r>
        <w:rPr>
          <w:b/>
          <w:spacing w:val="-4"/>
        </w:rPr>
        <w:t> </w:t>
      </w:r>
      <w:hyperlink r:id="rId8">
        <w:r>
          <w:rPr/>
          <w:t>linkedin.com/in/ikechukwu-moses-371397b5</w:t>
        </w:r>
      </w:hyperlink>
    </w:p>
    <w:sectPr>
      <w:pgSz w:w="11910" w:h="16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ikechukwu.moses@ebsu.edu.ng" TargetMode="External"/><Relationship Id="rId7" Type="http://schemas.openxmlformats.org/officeDocument/2006/relationships/hyperlink" Target="mailto:ben_iyke70@yahoo.com" TargetMode="External"/><Relationship Id="rId8" Type="http://schemas.openxmlformats.org/officeDocument/2006/relationships/hyperlink" Target="https://www.linkedin.com/public-profile/settings?trk=d_flagship3_profile_self_view_public_profile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Ikechukwu</dc:creator>
  <dcterms:created xsi:type="dcterms:W3CDTF">2022-07-06T05:00:08Z</dcterms:created>
  <dcterms:modified xsi:type="dcterms:W3CDTF">2022-07-06T05:00:08Z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2022-07-06T00:00:00Z</vt:filetime>
  </property>
</Properties>
</file>