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138"/>
        <w:ind w:left="240" w:right="0" w:firstLine="0"/>
        <w:jc w:val="left"/>
        <w:rPr>
          <w:b/>
          <w:i/>
          <w:sz w:val="36"/>
        </w:rPr>
      </w:pPr>
      <w:r>
        <w:rPr>
          <w:b/>
          <w:i/>
          <w:color w:val="6C1038"/>
          <w:sz w:val="36"/>
        </w:rPr>
        <w:t>Mechanical and Chemical Recycling of marine litter</w:t>
      </w:r>
    </w:p>
    <w:p>
      <w:pPr>
        <w:spacing w:line="249" w:lineRule="auto" w:before="134"/>
        <w:ind w:left="240" w:right="506" w:firstLine="0"/>
        <w:jc w:val="left"/>
        <w:rPr>
          <w:b/>
          <w:sz w:val="30"/>
        </w:rPr>
      </w:pPr>
      <w:r>
        <w:rPr>
          <w:b/>
          <w:sz w:val="30"/>
        </w:rPr>
        <w:t>Cristina Peña-Rodriguez, Gurutz Mondragon, Amaia Mendoza, Eider Mendiburu, Arantxa Eceiza, Galder Kortaberria</w:t>
      </w:r>
    </w:p>
    <w:p>
      <w:pPr>
        <w:spacing w:line="252" w:lineRule="auto" w:before="19"/>
        <w:ind w:left="240" w:right="506" w:firstLine="0"/>
        <w:jc w:val="left"/>
        <w:rPr>
          <w:sz w:val="22"/>
        </w:rPr>
      </w:pPr>
      <w:r>
        <w:rPr>
          <w:sz w:val="22"/>
        </w:rPr>
        <w:t>Materials+Technologies' Research Group. Faculty of Engineering, Gipuzkoa. University of the Basque Country (UPV/EHU)</w:t>
      </w:r>
    </w:p>
    <w:p>
      <w:pPr>
        <w:spacing w:after="0" w:line="252" w:lineRule="auto"/>
        <w:jc w:val="left"/>
        <w:rPr>
          <w:sz w:val="22"/>
        </w:rPr>
        <w:sectPr>
          <w:headerReference w:type="default" r:id="rId5"/>
          <w:footerReference w:type="default" r:id="rId6"/>
          <w:type w:val="continuous"/>
          <w:pgSz w:w="12240" w:h="15840"/>
          <w:pgMar w:header="0" w:footer="311" w:top="2060" w:bottom="500" w:left="520" w:right="460"/>
          <w:pgNumType w:start="1"/>
        </w:sectPr>
      </w:pPr>
    </w:p>
    <w:p>
      <w:pPr>
        <w:pStyle w:val="Heading1"/>
        <w:spacing w:before="40"/>
        <w:ind w:left="240"/>
      </w:pPr>
      <w:r>
        <w:rPr/>
        <w:drawing>
          <wp:anchor distT="0" distB="0" distL="0" distR="0" allowOverlap="1" layoutInCell="1" locked="0" behindDoc="1" simplePos="0" relativeHeight="487479808">
            <wp:simplePos x="0" y="0"/>
            <wp:positionH relativeFrom="page">
              <wp:posOffset>672922</wp:posOffset>
            </wp:positionH>
            <wp:positionV relativeFrom="page">
              <wp:posOffset>9751073</wp:posOffset>
            </wp:positionV>
            <wp:extent cx="691819" cy="117538"/>
            <wp:effectExtent l="0" t="0" r="0" b="0"/>
            <wp:wrapNone/>
            <wp:docPr id="1" name="image2.png"/>
            <wp:cNvGraphicFramePr>
              <a:graphicFrameLocks noChangeAspect="1"/>
            </wp:cNvGraphicFramePr>
            <a:graphic>
              <a:graphicData uri="http://schemas.openxmlformats.org/drawingml/2006/picture">
                <pic:pic>
                  <pic:nvPicPr>
                    <pic:cNvPr id="2" name="image2.png"/>
                    <pic:cNvPicPr/>
                  </pic:nvPicPr>
                  <pic:blipFill>
                    <a:blip r:embed="rId7" cstate="print"/>
                    <a:stretch>
                      <a:fillRect/>
                    </a:stretch>
                  </pic:blipFill>
                  <pic:spPr>
                    <a:xfrm>
                      <a:off x="0" y="0"/>
                      <a:ext cx="691819" cy="117538"/>
                    </a:xfrm>
                    <a:prstGeom prst="rect">
                      <a:avLst/>
                    </a:prstGeom>
                  </pic:spPr>
                </pic:pic>
              </a:graphicData>
            </a:graphic>
          </wp:anchor>
        </w:drawing>
      </w:r>
      <w:r>
        <w:rPr/>
        <w:drawing>
          <wp:anchor distT="0" distB="0" distL="0" distR="0" allowOverlap="1" layoutInCell="1" locked="0" behindDoc="1" simplePos="0" relativeHeight="487480320">
            <wp:simplePos x="0" y="0"/>
            <wp:positionH relativeFrom="page">
              <wp:posOffset>2518536</wp:posOffset>
            </wp:positionH>
            <wp:positionV relativeFrom="page">
              <wp:posOffset>9770922</wp:posOffset>
            </wp:positionV>
            <wp:extent cx="2768091" cy="115138"/>
            <wp:effectExtent l="0" t="0" r="0" b="0"/>
            <wp:wrapNone/>
            <wp:docPr id="3" name="image3.png"/>
            <wp:cNvGraphicFramePr>
              <a:graphicFrameLocks noChangeAspect="1"/>
            </wp:cNvGraphicFramePr>
            <a:graphic>
              <a:graphicData uri="http://schemas.openxmlformats.org/drawingml/2006/picture">
                <pic:pic>
                  <pic:nvPicPr>
                    <pic:cNvPr id="4" name="image3.png"/>
                    <pic:cNvPicPr/>
                  </pic:nvPicPr>
                  <pic:blipFill>
                    <a:blip r:embed="rId8" cstate="print"/>
                    <a:stretch>
                      <a:fillRect/>
                    </a:stretch>
                  </pic:blipFill>
                  <pic:spPr>
                    <a:xfrm>
                      <a:off x="0" y="0"/>
                      <a:ext cx="2768091" cy="115138"/>
                    </a:xfrm>
                    <a:prstGeom prst="rect">
                      <a:avLst/>
                    </a:prstGeom>
                  </pic:spPr>
                </pic:pic>
              </a:graphicData>
            </a:graphic>
          </wp:anchor>
        </w:drawing>
      </w:r>
      <w:r>
        <w:rPr/>
        <w:pict>
          <v:rect style="position:absolute;margin-left:310.079987pt;margin-top:784.799988pt;width:11.04pt;height:5.76pt;mso-position-horizontal-relative:page;mso-position-vertical-relative:page;z-index:-15835648" filled="true" fillcolor="#ffffff" stroked="false">
            <v:fill type="solid"/>
            <w10:wrap type="none"/>
          </v:rect>
        </w:pict>
      </w:r>
      <w:r>
        <w:rPr/>
        <w:pict>
          <v:group style="position:absolute;margin-left:33.349998pt;margin-top:19.570684pt;width:355.1pt;height:114.7pt;mso-position-horizontal-relative:page;mso-position-vertical-relative:paragraph;z-index:15731712" coordorigin="667,391" coordsize="7102,2294">
            <v:rect style="position:absolute;left:667;top:391;width:7102;height:2294" filled="true" fillcolor="#e9dbe0" stroked="false">
              <v:fill type="solid"/>
            </v:rect>
            <v:shape style="position:absolute;left:756;top:429;width:1164;height:1554" type="#_x0000_t75" stroked="false">
              <v:imagedata r:id="rId9" o:title=""/>
            </v:shape>
            <v:shape style="position:absolute;left:667;top:391;width:7102;height:2294" type="#_x0000_t202" filled="false" stroked="false">
              <v:textbox inset="0,0,0,0">
                <w:txbxContent>
                  <w:p>
                    <w:pPr>
                      <w:spacing w:line="225" w:lineRule="auto" w:before="53"/>
                      <w:ind w:left="1404" w:right="93" w:firstLine="0"/>
                      <w:jc w:val="both"/>
                      <w:rPr>
                        <w:rFonts w:ascii="Trebuchet MS" w:hAnsi="Trebuchet MS"/>
                        <w:sz w:val="18"/>
                      </w:rPr>
                    </w:pPr>
                    <w:r>
                      <w:rPr>
                        <w:rFonts w:ascii="Trebuchet MS" w:hAnsi="Trebuchet MS"/>
                        <w:sz w:val="18"/>
                      </w:rPr>
                      <w:t>Cristina Peña-Rodriguez, Bachelor degree on Petrochemical / Macromolecular Chemistry and Ph.D. in Materials Engineering (UPV/ EHU). Researcher in the ‘Materials+Technologies’ Group from 2000. Associate Professor at the Chemical and Environmental Engineering Department in the UPV/EHU. From 2020 Director of the Circular Economy University-Company Classroom of the Faculty of Engineering Gipuzkoa (University of the Basque Country - Provincial Council of</w:t>
                    </w:r>
                    <w:r>
                      <w:rPr>
                        <w:rFonts w:ascii="Trebuchet MS" w:hAnsi="Trebuchet MS"/>
                        <w:spacing w:val="-2"/>
                        <w:sz w:val="18"/>
                      </w:rPr>
                      <w:t> </w:t>
                    </w:r>
                    <w:r>
                      <w:rPr>
                        <w:rFonts w:ascii="Trebuchet MS" w:hAnsi="Trebuchet MS"/>
                        <w:sz w:val="18"/>
                      </w:rPr>
                      <w:t>Gipuzkoa).</w:t>
                    </w:r>
                  </w:p>
                  <w:p>
                    <w:pPr>
                      <w:spacing w:line="196" w:lineRule="auto" w:before="27"/>
                      <w:ind w:left="91" w:right="51" w:firstLine="0"/>
                      <w:jc w:val="both"/>
                      <w:rPr>
                        <w:rFonts w:ascii="Trebuchet MS"/>
                        <w:sz w:val="18"/>
                      </w:rPr>
                    </w:pPr>
                    <w:r>
                      <w:rPr>
                        <w:rFonts w:ascii="Trebuchet MS"/>
                        <w:color w:val="211E1F"/>
                        <w:sz w:val="18"/>
                      </w:rPr>
                      <w:t>Her research is focussed in the development of new materials based on partially or totally renewable materials for several applications and the mechanical and chemical recycling processes of polymeric materials.</w:t>
                    </w:r>
                  </w:p>
                </w:txbxContent>
              </v:textbox>
              <w10:wrap type="none"/>
            </v:shape>
            <w10:wrap type="none"/>
          </v:group>
        </w:pict>
      </w:r>
      <w:r>
        <w:rPr>
          <w:color w:val="6C1038"/>
        </w:rPr>
        <w:t>Biography</w:t>
      </w:r>
    </w:p>
    <w:p>
      <w:pPr>
        <w:pStyle w:val="BodyText"/>
        <w:rPr>
          <w:rFonts w:ascii="Trebuchet MS"/>
          <w:b/>
          <w:sz w:val="28"/>
        </w:rPr>
      </w:pPr>
    </w:p>
    <w:p>
      <w:pPr>
        <w:pStyle w:val="BodyText"/>
        <w:rPr>
          <w:rFonts w:ascii="Trebuchet MS"/>
          <w:b/>
          <w:sz w:val="28"/>
        </w:rPr>
      </w:pPr>
    </w:p>
    <w:p>
      <w:pPr>
        <w:pStyle w:val="BodyText"/>
        <w:rPr>
          <w:rFonts w:ascii="Trebuchet MS"/>
          <w:b/>
          <w:sz w:val="28"/>
        </w:rPr>
      </w:pPr>
    </w:p>
    <w:p>
      <w:pPr>
        <w:pStyle w:val="BodyText"/>
        <w:rPr>
          <w:rFonts w:ascii="Trebuchet MS"/>
          <w:b/>
          <w:sz w:val="28"/>
        </w:rPr>
      </w:pPr>
    </w:p>
    <w:p>
      <w:pPr>
        <w:pStyle w:val="BodyText"/>
        <w:rPr>
          <w:rFonts w:ascii="Trebuchet MS"/>
          <w:b/>
          <w:sz w:val="28"/>
        </w:rPr>
      </w:pPr>
    </w:p>
    <w:p>
      <w:pPr>
        <w:pStyle w:val="BodyText"/>
        <w:rPr>
          <w:rFonts w:ascii="Trebuchet MS"/>
          <w:b/>
          <w:sz w:val="28"/>
        </w:rPr>
      </w:pPr>
    </w:p>
    <w:p>
      <w:pPr>
        <w:pStyle w:val="BodyText"/>
        <w:rPr>
          <w:rFonts w:ascii="Trebuchet MS"/>
          <w:b/>
          <w:sz w:val="28"/>
        </w:rPr>
      </w:pPr>
    </w:p>
    <w:p>
      <w:pPr>
        <w:pStyle w:val="BodyText"/>
        <w:rPr>
          <w:rFonts w:ascii="Trebuchet MS"/>
          <w:b/>
          <w:sz w:val="31"/>
        </w:rPr>
      </w:pPr>
    </w:p>
    <w:p>
      <w:pPr>
        <w:spacing w:before="0"/>
        <w:ind w:left="200" w:right="0" w:firstLine="0"/>
        <w:jc w:val="left"/>
        <w:rPr>
          <w:rFonts w:ascii="Trebuchet MS"/>
          <w:b/>
          <w:sz w:val="24"/>
        </w:rPr>
      </w:pPr>
      <w:r>
        <w:rPr>
          <w:rFonts w:ascii="Trebuchet MS"/>
          <w:b/>
          <w:color w:val="6C1038"/>
          <w:sz w:val="24"/>
        </w:rPr>
        <w:t>Abstract</w:t>
      </w:r>
    </w:p>
    <w:p>
      <w:pPr>
        <w:pStyle w:val="BodyText"/>
        <w:spacing w:before="11"/>
        <w:rPr>
          <w:rFonts w:ascii="Trebuchet MS"/>
          <w:b/>
          <w:sz w:val="25"/>
        </w:rPr>
      </w:pPr>
    </w:p>
    <w:p>
      <w:pPr>
        <w:pStyle w:val="BodyText"/>
        <w:ind w:left="667"/>
        <w:jc w:val="both"/>
      </w:pPr>
      <w:r>
        <w:rPr/>
        <w:pict>
          <v:shape style="position:absolute;margin-left:36.077999pt;margin-top:-6.605868pt;width:19.1pt;height:22.5pt;mso-position-horizontal-relative:page;mso-position-vertical-relative:paragraph;z-index:15730688" coordorigin="722,-132" coordsize="382,450" path="m1098,-132l727,-132,722,-27,734,-27,736,-41,739,-54,779,-99,824,-104,879,-104,879,240,878,257,830,305,814,305,814,318,1007,318,1007,305,991,305,979,305,943,240,943,-104,1007,-104,1020,-103,1080,-66,1090,-27,1103,-27,1098,-132xe" filled="true" fillcolor="#211e1f" stroked="false">
            <v:path arrowok="t"/>
            <v:fill type="solid"/>
            <w10:wrap type="none"/>
          </v:shape>
        </w:pict>
      </w:r>
      <w:r>
        <w:rPr>
          <w:color w:val="221F1F"/>
        </w:rPr>
        <w:t>he   circular economy relates</w:t>
      </w:r>
      <w:r>
        <w:rPr>
          <w:color w:val="221F1F"/>
          <w:spacing w:val="-35"/>
        </w:rPr>
        <w:t> </w:t>
      </w:r>
      <w:r>
        <w:rPr>
          <w:color w:val="221F1F"/>
        </w:rPr>
        <w:t>to</w:t>
      </w:r>
    </w:p>
    <w:p>
      <w:pPr>
        <w:pStyle w:val="BodyText"/>
        <w:tabs>
          <w:tab w:pos="1678" w:val="left" w:leader="none"/>
          <w:tab w:pos="2801" w:val="left" w:leader="none"/>
          <w:tab w:pos="3334" w:val="left" w:leader="none"/>
        </w:tabs>
        <w:spacing w:line="242" w:lineRule="auto" w:before="120"/>
        <w:ind w:left="221"/>
        <w:jc w:val="both"/>
      </w:pPr>
      <w:r>
        <w:rPr>
          <w:color w:val="221F1F"/>
        </w:rPr>
        <w:t>the efficiency of </w:t>
      </w:r>
      <w:r>
        <w:rPr>
          <w:color w:val="221F1F"/>
          <w:spacing w:val="-3"/>
        </w:rPr>
        <w:t>material </w:t>
      </w:r>
      <w:r>
        <w:rPr>
          <w:color w:val="221F1F"/>
        </w:rPr>
        <w:t>comsumption. This </w:t>
      </w:r>
      <w:r>
        <w:rPr>
          <w:color w:val="221F1F"/>
          <w:spacing w:val="-3"/>
        </w:rPr>
        <w:t>research </w:t>
      </w:r>
      <w:r>
        <w:rPr>
          <w:color w:val="221F1F"/>
        </w:rPr>
        <w:t>analyses</w:t>
        <w:tab/>
        <w:t>polyamide</w:t>
        <w:tab/>
        <w:tab/>
      </w:r>
      <w:r>
        <w:rPr>
          <w:color w:val="221F1F"/>
          <w:spacing w:val="-6"/>
        </w:rPr>
        <w:t>and </w:t>
      </w:r>
      <w:r>
        <w:rPr>
          <w:color w:val="221F1F"/>
        </w:rPr>
        <w:t>poly(ethylene terephtalate) </w:t>
      </w:r>
      <w:r>
        <w:rPr>
          <w:color w:val="221F1F"/>
          <w:spacing w:val="-4"/>
        </w:rPr>
        <w:t>(PET) </w:t>
      </w:r>
      <w:r>
        <w:rPr>
          <w:color w:val="221F1F"/>
        </w:rPr>
        <w:t>polymeric</w:t>
        <w:tab/>
        <w:tab/>
      </w:r>
      <w:r>
        <w:rPr>
          <w:color w:val="221F1F"/>
          <w:spacing w:val="-1"/>
        </w:rPr>
        <w:t>materials </w:t>
      </w:r>
      <w:r>
        <w:rPr>
          <w:color w:val="221F1F"/>
        </w:rPr>
        <w:t>recovered from the seas and </w:t>
      </w:r>
      <w:r>
        <w:rPr>
          <w:color w:val="221F1F"/>
          <w:spacing w:val="-3"/>
        </w:rPr>
        <w:t>oceans </w:t>
      </w:r>
      <w:r>
        <w:rPr>
          <w:color w:val="221F1F"/>
        </w:rPr>
        <w:t>to identify recycling possibilities. Their use as a source of raw materials should be analysed to exploit the fossil resources </w:t>
      </w:r>
      <w:r>
        <w:rPr>
          <w:color w:val="221F1F"/>
          <w:spacing w:val="-5"/>
        </w:rPr>
        <w:t>they </w:t>
      </w:r>
      <w:r>
        <w:rPr>
          <w:color w:val="221F1F"/>
        </w:rPr>
        <w:t>contain. Marine litter is defined </w:t>
      </w:r>
      <w:r>
        <w:rPr>
          <w:color w:val="221F1F"/>
          <w:spacing w:val="-6"/>
        </w:rPr>
        <w:t>as </w:t>
      </w:r>
      <w:r>
        <w:rPr>
          <w:color w:val="221F1F"/>
        </w:rPr>
        <w:t>any persistent solid material, manufactured or processed, that </w:t>
      </w:r>
      <w:r>
        <w:rPr>
          <w:color w:val="221F1F"/>
          <w:spacing w:val="-8"/>
        </w:rPr>
        <w:t>is </w:t>
      </w:r>
      <w:r>
        <w:rPr>
          <w:color w:val="221F1F"/>
        </w:rPr>
        <w:t>discarded or abandoned in </w:t>
      </w:r>
      <w:r>
        <w:rPr>
          <w:color w:val="221F1F"/>
          <w:spacing w:val="-6"/>
        </w:rPr>
        <w:t>the </w:t>
      </w:r>
      <w:r>
        <w:rPr>
          <w:color w:val="221F1F"/>
        </w:rPr>
        <w:t>marine environment directly </w:t>
      </w:r>
      <w:r>
        <w:rPr>
          <w:color w:val="221F1F"/>
          <w:spacing w:val="-8"/>
        </w:rPr>
        <w:t>or </w:t>
      </w:r>
      <w:r>
        <w:rPr>
          <w:color w:val="221F1F"/>
        </w:rPr>
        <w:t>indirectly, intentionally </w:t>
      </w:r>
      <w:r>
        <w:rPr>
          <w:color w:val="221F1F"/>
          <w:spacing w:val="-9"/>
        </w:rPr>
        <w:t>or </w:t>
      </w:r>
      <w:r>
        <w:rPr>
          <w:color w:val="221F1F"/>
        </w:rPr>
        <w:t>unintentionally.  Annually </w:t>
      </w:r>
      <w:r>
        <w:rPr>
          <w:color w:val="221F1F"/>
          <w:spacing w:val="5"/>
        </w:rPr>
        <w:t> </w:t>
      </w:r>
      <w:r>
        <w:rPr>
          <w:color w:val="221F1F"/>
        </w:rPr>
        <w:t>between</w:t>
      </w:r>
    </w:p>
    <w:p>
      <w:pPr>
        <w:pStyle w:val="BodyText"/>
        <w:spacing w:line="242" w:lineRule="auto"/>
        <w:ind w:left="221"/>
        <w:jc w:val="both"/>
      </w:pPr>
      <w:r>
        <w:rPr>
          <w:color w:val="221F1F"/>
        </w:rPr>
        <w:t>1.15 and 2.41 million tonnes of plastic enters the ocean from rivers. As more than half of the plastic is less dense than water, it will not sink once it is in the sea.</w:t>
      </w:r>
    </w:p>
    <w:p>
      <w:pPr>
        <w:pStyle w:val="BodyText"/>
        <w:spacing w:line="242" w:lineRule="auto"/>
        <w:ind w:left="221"/>
        <w:jc w:val="both"/>
      </w:pPr>
      <w:r>
        <w:rPr>
          <w:color w:val="221F1F"/>
        </w:rPr>
        <w:t>Once marine litter has been located and identified, it must be treated </w:t>
      </w:r>
      <w:r>
        <w:rPr>
          <w:color w:val="221F1F"/>
          <w:spacing w:val="-6"/>
        </w:rPr>
        <w:t>for </w:t>
      </w:r>
      <w:r>
        <w:rPr>
          <w:color w:val="221F1F"/>
        </w:rPr>
        <w:t>reuse, for recycling or for </w:t>
      </w:r>
      <w:r>
        <w:rPr>
          <w:color w:val="221F1F"/>
          <w:spacing w:val="-4"/>
        </w:rPr>
        <w:t>other</w:t>
      </w:r>
      <w:r>
        <w:rPr>
          <w:color w:val="221F1F"/>
          <w:spacing w:val="52"/>
        </w:rPr>
        <w:t> </w:t>
      </w:r>
      <w:r>
        <w:rPr>
          <w:color w:val="221F1F"/>
        </w:rPr>
        <w:t>uses such as energy</w:t>
      </w:r>
      <w:r>
        <w:rPr>
          <w:color w:val="221F1F"/>
          <w:spacing w:val="-2"/>
        </w:rPr>
        <w:t> </w:t>
      </w:r>
      <w:r>
        <w:rPr>
          <w:color w:val="221F1F"/>
        </w:rPr>
        <w:t>recovery.</w:t>
      </w:r>
    </w:p>
    <w:p>
      <w:pPr>
        <w:pStyle w:val="BodyText"/>
        <w:rPr>
          <w:sz w:val="26"/>
        </w:rPr>
      </w:pPr>
      <w:r>
        <w:rPr/>
        <w:br w:type="column"/>
      </w:r>
      <w:r>
        <w:rPr>
          <w:sz w:val="26"/>
        </w:rPr>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3"/>
        <w:rPr>
          <w:sz w:val="37"/>
        </w:rPr>
      </w:pPr>
    </w:p>
    <w:p>
      <w:pPr>
        <w:pStyle w:val="BodyText"/>
        <w:spacing w:line="249" w:lineRule="auto"/>
        <w:ind w:left="164"/>
        <w:jc w:val="both"/>
      </w:pPr>
      <w:r>
        <w:rPr/>
        <w:t>The treatment techniques </w:t>
      </w:r>
      <w:r>
        <w:rPr>
          <w:spacing w:val="-6"/>
        </w:rPr>
        <w:t>for </w:t>
      </w:r>
      <w:r>
        <w:rPr/>
        <w:t>marine plastic waste are similar to those used for land-based </w:t>
      </w:r>
      <w:r>
        <w:rPr>
          <w:spacing w:val="-3"/>
        </w:rPr>
        <w:t>plastic </w:t>
      </w:r>
      <w:r>
        <w:rPr/>
        <w:t>waste. However, it should be noted that the marine origin </w:t>
      </w:r>
      <w:r>
        <w:rPr>
          <w:spacing w:val="-3"/>
        </w:rPr>
        <w:t>usually </w:t>
      </w:r>
      <w:r>
        <w:rPr/>
        <w:t>involves degradation of </w:t>
      </w:r>
      <w:r>
        <w:rPr>
          <w:spacing w:val="-6"/>
        </w:rPr>
        <w:t>the </w:t>
      </w:r>
      <w:r>
        <w:rPr/>
        <w:t>materials by the presence of </w:t>
      </w:r>
      <w:r>
        <w:rPr>
          <w:spacing w:val="-8"/>
        </w:rPr>
        <w:t>UV </w:t>
      </w:r>
      <w:r>
        <w:rPr/>
        <w:t>radiation, marine organisms or </w:t>
      </w:r>
      <w:r>
        <w:rPr>
          <w:spacing w:val="-4"/>
        </w:rPr>
        <w:t>sand </w:t>
      </w:r>
      <w:r>
        <w:rPr/>
        <w:t>and the effect of mechanical </w:t>
      </w:r>
      <w:r>
        <w:rPr>
          <w:spacing w:val="-3"/>
        </w:rPr>
        <w:t>forces </w:t>
      </w:r>
      <w:r>
        <w:rPr/>
        <w:t>(wind, currents,</w:t>
      </w:r>
      <w:r>
        <w:rPr>
          <w:spacing w:val="-10"/>
        </w:rPr>
        <w:t> </w:t>
      </w:r>
      <w:r>
        <w:rPr/>
        <w:t>etc.).</w:t>
      </w:r>
    </w:p>
    <w:p>
      <w:pPr>
        <w:pStyle w:val="BodyText"/>
        <w:spacing w:line="249" w:lineRule="auto"/>
        <w:ind w:left="164"/>
        <w:jc w:val="both"/>
      </w:pPr>
      <w:r>
        <w:rPr/>
        <w:drawing>
          <wp:anchor distT="0" distB="0" distL="0" distR="0" allowOverlap="1" layoutInCell="1" locked="0" behindDoc="1" simplePos="0" relativeHeight="487481344">
            <wp:simplePos x="0" y="0"/>
            <wp:positionH relativeFrom="page">
              <wp:posOffset>6475984</wp:posOffset>
            </wp:positionH>
            <wp:positionV relativeFrom="paragraph">
              <wp:posOffset>3210231</wp:posOffset>
            </wp:positionV>
            <wp:extent cx="785241" cy="108826"/>
            <wp:effectExtent l="0" t="0" r="0" b="0"/>
            <wp:wrapNone/>
            <wp:docPr id="5" name="image5.png"/>
            <wp:cNvGraphicFramePr>
              <a:graphicFrameLocks noChangeAspect="1"/>
            </wp:cNvGraphicFramePr>
            <a:graphic>
              <a:graphicData uri="http://schemas.openxmlformats.org/drawingml/2006/picture">
                <pic:pic>
                  <pic:nvPicPr>
                    <pic:cNvPr id="6" name="image5.png"/>
                    <pic:cNvPicPr/>
                  </pic:nvPicPr>
                  <pic:blipFill>
                    <a:blip r:embed="rId10" cstate="print"/>
                    <a:stretch>
                      <a:fillRect/>
                    </a:stretch>
                  </pic:blipFill>
                  <pic:spPr>
                    <a:xfrm>
                      <a:off x="0" y="0"/>
                      <a:ext cx="785241" cy="108826"/>
                    </a:xfrm>
                    <a:prstGeom prst="rect">
                      <a:avLst/>
                    </a:prstGeom>
                  </pic:spPr>
                </pic:pic>
              </a:graphicData>
            </a:graphic>
          </wp:anchor>
        </w:drawing>
      </w:r>
      <w:r>
        <w:rPr/>
        <w:t>One of the most abundant types </w:t>
      </w:r>
      <w:r>
        <w:rPr>
          <w:spacing w:val="-8"/>
        </w:rPr>
        <w:t>of </w:t>
      </w:r>
      <w:r>
        <w:rPr/>
        <w:t>waste found in the sea is that</w:t>
      </w:r>
      <w:r>
        <w:rPr>
          <w:spacing w:val="-39"/>
        </w:rPr>
        <w:t> </w:t>
      </w:r>
      <w:r>
        <w:rPr/>
        <w:t>related to fishing activities. An estimated 640,000 tonnes of abandoned, </w:t>
      </w:r>
      <w:r>
        <w:rPr>
          <w:spacing w:val="-5"/>
        </w:rPr>
        <w:t>lost </w:t>
      </w:r>
      <w:r>
        <w:rPr/>
        <w:t>and discarded fishing gear </w:t>
      </w:r>
      <w:r>
        <w:rPr>
          <w:spacing w:val="-3"/>
        </w:rPr>
        <w:t>reaches </w:t>
      </w:r>
      <w:r>
        <w:rPr/>
        <w:t>the ocean annually, </w:t>
      </w:r>
      <w:r>
        <w:rPr>
          <w:spacing w:val="-4"/>
        </w:rPr>
        <w:t>which </w:t>
      </w:r>
      <w:r>
        <w:rPr/>
        <w:t>constitutes around 10-11% </w:t>
      </w:r>
      <w:r>
        <w:rPr>
          <w:spacing w:val="-9"/>
        </w:rPr>
        <w:t>of </w:t>
      </w:r>
      <w:r>
        <w:rPr/>
        <w:t>marine litter. Mechanical recycling appears to be a suitable method for the manufacture of new nylon </w:t>
      </w:r>
      <w:r>
        <w:rPr>
          <w:spacing w:val="-15"/>
        </w:rPr>
        <w:t>6 </w:t>
      </w:r>
      <w:r>
        <w:rPr/>
        <w:t>products. The process </w:t>
      </w:r>
      <w:r>
        <w:rPr>
          <w:spacing w:val="-3"/>
        </w:rPr>
        <w:t>includes </w:t>
      </w:r>
      <w:r>
        <w:rPr/>
        <w:t>several stages: fishing net waste is washed, cut, shredded and dried before the extrusion process, carried out at 255-270 °C. </w:t>
      </w:r>
      <w:r>
        <w:rPr>
          <w:spacing w:val="-6"/>
        </w:rPr>
        <w:t>The </w:t>
      </w:r>
      <w:r>
        <w:rPr/>
        <w:t>filaments or pellets obtained </w:t>
      </w:r>
      <w:r>
        <w:rPr>
          <w:spacing w:val="-8"/>
        </w:rPr>
        <w:t>by </w:t>
      </w:r>
      <w:r>
        <w:rPr/>
        <w:t>extrusion can then be used for</w:t>
      </w:r>
      <w:r>
        <w:rPr>
          <w:spacing w:val="-30"/>
        </w:rPr>
        <w:t> </w:t>
      </w:r>
      <w:r>
        <w:rPr/>
        <w:t>the</w:t>
      </w:r>
    </w:p>
    <w:p>
      <w:pPr>
        <w:pStyle w:val="BodyText"/>
        <w:spacing w:before="4"/>
        <w:ind w:left="185"/>
        <w:jc w:val="both"/>
      </w:pPr>
      <w:r>
        <w:rPr/>
        <w:br w:type="column"/>
      </w:r>
      <w:r>
        <w:rPr/>
        <w:t>manufacture of new products.</w:t>
      </w:r>
    </w:p>
    <w:p>
      <w:pPr>
        <w:pStyle w:val="BodyText"/>
        <w:tabs>
          <w:tab w:pos="1465" w:val="left" w:leader="none"/>
          <w:tab w:pos="2580" w:val="left" w:leader="none"/>
          <w:tab w:pos="3334" w:val="left" w:leader="none"/>
        </w:tabs>
        <w:spacing w:line="249" w:lineRule="auto" w:before="11"/>
        <w:ind w:left="185" w:right="189"/>
        <w:jc w:val="both"/>
      </w:pPr>
      <w:r>
        <w:rPr/>
        <w:t>PET materials account for 7% </w:t>
      </w:r>
      <w:r>
        <w:rPr>
          <w:spacing w:val="-6"/>
        </w:rPr>
        <w:t>of </w:t>
      </w:r>
      <w:r>
        <w:rPr/>
        <w:t>global   </w:t>
      </w:r>
      <w:r>
        <w:rPr>
          <w:spacing w:val="15"/>
        </w:rPr>
        <w:t> </w:t>
      </w:r>
      <w:r>
        <w:rPr/>
        <w:t>plastics</w:t>
        <w:tab/>
      </w:r>
      <w:r>
        <w:rPr>
          <w:spacing w:val="-1"/>
        </w:rPr>
        <w:t>production, </w:t>
      </w:r>
      <w:r>
        <w:rPr/>
        <w:t>with approximately 18.8 million tonnes produced per  </w:t>
      </w:r>
      <w:r>
        <w:rPr>
          <w:spacing w:val="-3"/>
        </w:rPr>
        <w:t>year. </w:t>
      </w:r>
      <w:r>
        <w:rPr/>
        <w:t>However, more than 40% of consumed PET bottles </w:t>
      </w:r>
      <w:r>
        <w:rPr>
          <w:spacing w:val="-4"/>
        </w:rPr>
        <w:t>and </w:t>
      </w:r>
      <w:r>
        <w:rPr/>
        <w:t>containers are not collected, </w:t>
      </w:r>
      <w:r>
        <w:rPr>
          <w:spacing w:val="-5"/>
        </w:rPr>
        <w:t>and </w:t>
      </w:r>
      <w:r>
        <w:rPr/>
        <w:t>many of them end up in the sea. PET  marine  litter   shows  different degradation mechanisms depending on the </w:t>
      </w:r>
      <w:r>
        <w:rPr>
          <w:spacing w:val="-3"/>
        </w:rPr>
        <w:t>marine </w:t>
      </w:r>
      <w:r>
        <w:rPr/>
        <w:t>compartments in which  it  is  found. Indeed, PET degradation mechanisms  may  be different </w:t>
      </w:r>
      <w:r>
        <w:rPr>
          <w:spacing w:val="-7"/>
        </w:rPr>
        <w:t>if</w:t>
      </w:r>
      <w:r>
        <w:rPr>
          <w:spacing w:val="46"/>
        </w:rPr>
        <w:t> </w:t>
      </w:r>
      <w:r>
        <w:rPr/>
        <w:t>the bottle is in the </w:t>
      </w:r>
      <w:r>
        <w:rPr>
          <w:spacing w:val="-3"/>
        </w:rPr>
        <w:t>upper </w:t>
      </w:r>
      <w:r>
        <w:rPr/>
        <w:t>compartments   of    the    </w:t>
      </w:r>
      <w:r>
        <w:rPr>
          <w:spacing w:val="-4"/>
        </w:rPr>
        <w:t>sea, </w:t>
      </w:r>
      <w:r>
        <w:rPr/>
        <w:t>where</w:t>
        <w:tab/>
        <w:t>hydrolysis</w:t>
        <w:tab/>
        <w:tab/>
      </w:r>
      <w:r>
        <w:rPr>
          <w:spacing w:val="-6"/>
        </w:rPr>
        <w:t>and </w:t>
      </w:r>
      <w:r>
        <w:rPr/>
        <w:t>photodegradation   occurs   </w:t>
      </w:r>
      <w:r>
        <w:rPr>
          <w:spacing w:val="-3"/>
        </w:rPr>
        <w:t>under </w:t>
      </w:r>
      <w:r>
        <w:rPr/>
        <w:t>the effect  of  UV radiation, or </w:t>
      </w:r>
      <w:r>
        <w:rPr>
          <w:spacing w:val="-6"/>
        </w:rPr>
        <w:t>on </w:t>
      </w:r>
      <w:r>
        <w:rPr/>
        <w:t>the seabed, where it appears    to   be  stable  for  approximately  fifteen years.</w:t>
      </w:r>
    </w:p>
    <w:p>
      <w:pPr>
        <w:pStyle w:val="BodyText"/>
        <w:spacing w:line="249" w:lineRule="auto"/>
        <w:ind w:left="185" w:right="190"/>
        <w:jc w:val="both"/>
      </w:pPr>
      <w:r>
        <w:rPr/>
        <w:t>This degradation takes place </w:t>
      </w:r>
      <w:r>
        <w:rPr>
          <w:spacing w:val="-3"/>
        </w:rPr>
        <w:t>mainly </w:t>
      </w:r>
      <w:r>
        <w:rPr/>
        <w:t>at     the     ester     bonds     </w:t>
      </w:r>
      <w:r>
        <w:rPr>
          <w:spacing w:val="-7"/>
        </w:rPr>
        <w:t>of   </w:t>
      </w:r>
      <w:r>
        <w:rPr/>
        <w:t>PET,  generating  carboxyl   </w:t>
      </w:r>
      <w:r>
        <w:rPr>
          <w:spacing w:val="-7"/>
        </w:rPr>
        <w:t>(- </w:t>
      </w:r>
      <w:r>
        <w:rPr/>
        <w:t>COO)   and  and    hydroxyl    </w:t>
      </w:r>
      <w:r>
        <w:rPr>
          <w:spacing w:val="-8"/>
        </w:rPr>
        <w:t>(- </w:t>
      </w:r>
      <w:r>
        <w:rPr/>
        <w:t>OH) groups  (Dubelley  et  </w:t>
      </w:r>
      <w:r>
        <w:rPr>
          <w:spacing w:val="-5"/>
        </w:rPr>
        <w:t>al. </w:t>
      </w:r>
      <w:r>
        <w:rPr/>
        <w:t>2017).   However,   the    best option for  recycling  degraded  PET samples,  such  as  marine PET, appears to be chemical recycling.</w:t>
      </w:r>
    </w:p>
    <w:p>
      <w:pPr>
        <w:spacing w:after="0" w:line="249" w:lineRule="auto"/>
        <w:jc w:val="both"/>
        <w:sectPr>
          <w:type w:val="continuous"/>
          <w:pgSz w:w="12240" w:h="15840"/>
          <w:pgMar w:top="2060" w:bottom="500" w:left="520" w:right="460"/>
          <w:cols w:num="3" w:equalWidth="0">
            <w:col w:w="3683" w:space="40"/>
            <w:col w:w="3624" w:space="39"/>
            <w:col w:w="3874"/>
          </w:cols>
        </w:sectPr>
      </w:pPr>
    </w:p>
    <w:p>
      <w:pPr>
        <w:pStyle w:val="Heading1"/>
        <w:spacing w:before="184"/>
      </w:pPr>
      <w:r>
        <w:rPr>
          <w:color w:val="6C1038"/>
        </w:rPr>
        <w:t>Conclusions</w:t>
      </w:r>
    </w:p>
    <w:p>
      <w:pPr>
        <w:pStyle w:val="BodyText"/>
        <w:spacing w:line="252" w:lineRule="auto" w:before="116"/>
        <w:ind w:left="200"/>
        <w:jc w:val="both"/>
      </w:pPr>
      <w:r>
        <w:rPr/>
        <w:t>The degradation of the residues limit the recycling possibilities. In the case of marine litter, polyamide fishing nets can be recycled by thermo-mechanical processing while chemical recycling is most suitable for PET bottles.</w:t>
      </w:r>
    </w:p>
    <w:p>
      <w:pPr>
        <w:pStyle w:val="Heading1"/>
        <w:spacing w:before="97"/>
      </w:pPr>
      <w:r>
        <w:rPr>
          <w:color w:val="6C1038"/>
        </w:rPr>
        <w:t>Importance of Research</w:t>
      </w:r>
    </w:p>
    <w:p>
      <w:pPr>
        <w:pStyle w:val="BodyText"/>
        <w:spacing w:line="249" w:lineRule="auto" w:before="116"/>
        <w:ind w:left="199"/>
        <w:jc w:val="both"/>
      </w:pPr>
      <w:r>
        <w:rPr/>
        <w:t>The circular economy is committed to efficiency in the use </w:t>
      </w:r>
      <w:r>
        <w:rPr>
          <w:spacing w:val="-8"/>
        </w:rPr>
        <w:t>of  </w:t>
      </w:r>
      <w:r>
        <w:rPr/>
        <w:t>materials. Recycling of </w:t>
      </w:r>
      <w:r>
        <w:rPr>
          <w:spacing w:val="-3"/>
        </w:rPr>
        <w:t>plastic </w:t>
      </w:r>
      <w:r>
        <w:rPr/>
        <w:t>products is necessary to reduce </w:t>
      </w:r>
      <w:r>
        <w:rPr>
          <w:spacing w:val="-5"/>
        </w:rPr>
        <w:t>the </w:t>
      </w:r>
      <w:r>
        <w:rPr/>
        <w:t>consumption of fossil resources. The physical and chemical state </w:t>
      </w:r>
      <w:r>
        <w:rPr>
          <w:spacing w:val="-6"/>
        </w:rPr>
        <w:t>of </w:t>
      </w:r>
      <w:r>
        <w:rPr/>
        <w:t>marine waste must be identified </w:t>
      </w:r>
      <w:r>
        <w:rPr>
          <w:spacing w:val="-6"/>
        </w:rPr>
        <w:t>in </w:t>
      </w:r>
      <w:r>
        <w:rPr/>
        <w:t>order to adapt the recycling process.</w:t>
      </w:r>
    </w:p>
    <w:p>
      <w:pPr>
        <w:pStyle w:val="BodyText"/>
        <w:spacing w:line="249" w:lineRule="auto" w:before="202"/>
        <w:ind w:left="185" w:right="38"/>
        <w:jc w:val="both"/>
      </w:pPr>
      <w:r>
        <w:rPr/>
        <w:br w:type="column"/>
      </w:r>
      <w:r>
        <w:rPr/>
        <w:t>Yet, they not only have a high esteem for tradition, but are also remarkably foward-looking and have stablished a highly regarded industrial sector.</w:t>
      </w:r>
    </w:p>
    <w:p>
      <w:pPr>
        <w:pStyle w:val="BodyText"/>
        <w:spacing w:line="249" w:lineRule="auto" w:before="62"/>
        <w:ind w:left="185" w:right="38"/>
        <w:jc w:val="both"/>
      </w:pPr>
      <w:r>
        <w:rPr/>
        <w:t>The region's sucess and scientific and technological progress are underpinned by the University of the Basque Country, a vibrant 30- year-old institution with 45,000 students, 5,000 world-class accademic staff and state-of-the-art facilities.</w:t>
      </w:r>
    </w:p>
    <w:p>
      <w:pPr>
        <w:pStyle w:val="BodyText"/>
        <w:spacing w:line="249" w:lineRule="auto" w:before="59"/>
        <w:ind w:left="185" w:right="38"/>
        <w:jc w:val="both"/>
      </w:pPr>
      <w:r>
        <w:rPr/>
        <w:t>Following our motto 'Give and spread knowledge', the University of the Basque Country is </w:t>
      </w:r>
      <w:r>
        <w:rPr>
          <w:spacing w:val="-8"/>
        </w:rPr>
        <w:t>an </w:t>
      </w:r>
      <w:r>
        <w:rPr/>
        <w:t>integrating institution willing to produce knowledge,  experience and research in order to forward them to the general public. </w:t>
      </w:r>
      <w:r>
        <w:rPr>
          <w:spacing w:val="-5"/>
        </w:rPr>
        <w:t>Our </w:t>
      </w:r>
      <w:r>
        <w:rPr/>
        <w:t>mission is to nurture a enlightened population by providing </w:t>
      </w:r>
      <w:r>
        <w:rPr>
          <w:spacing w:val="-3"/>
        </w:rPr>
        <w:t>quality </w:t>
      </w:r>
      <w:r>
        <w:rPr/>
        <w:t>education and training based</w:t>
      </w:r>
      <w:r>
        <w:rPr>
          <w:spacing w:val="37"/>
        </w:rPr>
        <w:t> </w:t>
      </w:r>
      <w:r>
        <w:rPr>
          <w:spacing w:val="-8"/>
        </w:rPr>
        <w:t>on</w:t>
      </w:r>
    </w:p>
    <w:p>
      <w:pPr>
        <w:pStyle w:val="Heading1"/>
        <w:spacing w:before="97"/>
        <w:ind w:left="210"/>
      </w:pPr>
      <w:r>
        <w:rPr>
          <w:b w:val="0"/>
        </w:rPr>
        <w:br w:type="column"/>
      </w:r>
      <w:r>
        <w:rPr>
          <w:color w:val="AA3F54"/>
        </w:rPr>
        <w:t>References</w:t>
      </w:r>
    </w:p>
    <w:p>
      <w:pPr>
        <w:pStyle w:val="BodyText"/>
        <w:spacing w:before="8"/>
        <w:rPr>
          <w:rFonts w:ascii="Trebuchet MS"/>
          <w:b/>
          <w:sz w:val="21"/>
        </w:rPr>
      </w:pPr>
    </w:p>
    <w:p>
      <w:pPr>
        <w:pStyle w:val="ListParagraph"/>
        <w:numPr>
          <w:ilvl w:val="0"/>
          <w:numId w:val="1"/>
        </w:numPr>
        <w:tabs>
          <w:tab w:pos="739" w:val="left" w:leader="none"/>
        </w:tabs>
        <w:spacing w:line="249" w:lineRule="auto" w:before="0" w:after="0"/>
        <w:ind w:left="530" w:right="169" w:hanging="258"/>
        <w:jc w:val="both"/>
        <w:rPr>
          <w:sz w:val="24"/>
        </w:rPr>
      </w:pPr>
      <w:r>
        <w:rPr/>
        <w:tab/>
      </w:r>
      <w:hyperlink r:id="rId11">
        <w:r>
          <w:rPr>
            <w:color w:val="221F1F"/>
            <w:sz w:val="24"/>
          </w:rPr>
          <w:t>Lebreton, L.C.M.; van </w:t>
        </w:r>
        <w:r>
          <w:rPr>
            <w:color w:val="221F1F"/>
            <w:spacing w:val="-4"/>
            <w:sz w:val="24"/>
          </w:rPr>
          <w:t>der</w:t>
        </w:r>
      </w:hyperlink>
      <w:hyperlink r:id="rId11">
        <w:r>
          <w:rPr>
            <w:color w:val="221F1F"/>
            <w:spacing w:val="52"/>
            <w:sz w:val="24"/>
          </w:rPr>
          <w:t> </w:t>
        </w:r>
        <w:r>
          <w:rPr>
            <w:color w:val="221F1F"/>
            <w:sz w:val="24"/>
          </w:rPr>
          <w:t>Zwet, J.; Damsteeg, J.W.; Slat,</w:t>
        </w:r>
      </w:hyperlink>
      <w:hyperlink r:id="rId11">
        <w:r>
          <w:rPr>
            <w:color w:val="221F1F"/>
            <w:sz w:val="24"/>
          </w:rPr>
          <w:t> B.; Andrady, A.; Reiser, J.</w:t>
        </w:r>
      </w:hyperlink>
      <w:hyperlink r:id="rId11">
        <w:r>
          <w:rPr>
            <w:color w:val="221F1F"/>
            <w:sz w:val="24"/>
          </w:rPr>
          <w:t> River plastic emissions to </w:t>
        </w:r>
        <w:r>
          <w:rPr>
            <w:color w:val="221F1F"/>
            <w:spacing w:val="-5"/>
            <w:sz w:val="24"/>
          </w:rPr>
          <w:t>the</w:t>
        </w:r>
      </w:hyperlink>
      <w:hyperlink r:id="rId11">
        <w:r>
          <w:rPr>
            <w:color w:val="221F1F"/>
            <w:spacing w:val="-5"/>
            <w:sz w:val="24"/>
          </w:rPr>
          <w:t> </w:t>
        </w:r>
        <w:r>
          <w:rPr>
            <w:color w:val="221F1F"/>
            <w:sz w:val="24"/>
          </w:rPr>
          <w:t>world’s oceans. Nat. Commun.</w:t>
        </w:r>
      </w:hyperlink>
      <w:hyperlink r:id="rId11">
        <w:r>
          <w:rPr>
            <w:color w:val="221F1F"/>
            <w:sz w:val="24"/>
          </w:rPr>
          <w:t> 2017,</w:t>
        </w:r>
      </w:hyperlink>
      <w:r>
        <w:rPr>
          <w:color w:val="221F1F"/>
          <w:sz w:val="24"/>
        </w:rPr>
        <w:t> 8:15611–15621.</w:t>
      </w:r>
    </w:p>
    <w:p>
      <w:pPr>
        <w:pStyle w:val="ListParagraph"/>
        <w:numPr>
          <w:ilvl w:val="0"/>
          <w:numId w:val="1"/>
        </w:numPr>
        <w:tabs>
          <w:tab w:pos="594" w:val="left" w:leader="none"/>
        </w:tabs>
        <w:spacing w:line="240" w:lineRule="auto" w:before="2" w:after="0"/>
        <w:ind w:left="593" w:right="0" w:hanging="395"/>
        <w:jc w:val="both"/>
        <w:rPr>
          <w:sz w:val="24"/>
        </w:rPr>
      </w:pPr>
      <w:hyperlink r:id="rId12">
        <w:r>
          <w:rPr>
            <w:color w:val="221F1F"/>
            <w:sz w:val="24"/>
          </w:rPr>
          <w:t>PlasticsEurope (2019)</w:t>
        </w:r>
        <w:r>
          <w:rPr>
            <w:color w:val="221F1F"/>
            <w:spacing w:val="-9"/>
            <w:sz w:val="24"/>
          </w:rPr>
          <w:t> </w:t>
        </w:r>
        <w:r>
          <w:rPr>
            <w:color w:val="221F1F"/>
            <w:sz w:val="24"/>
          </w:rPr>
          <w:t>Plastics</w:t>
        </w:r>
      </w:hyperlink>
    </w:p>
    <w:p>
      <w:pPr>
        <w:pStyle w:val="BodyText"/>
        <w:tabs>
          <w:tab w:pos="1823" w:val="left" w:leader="none"/>
          <w:tab w:pos="3035" w:val="left" w:leader="none"/>
        </w:tabs>
        <w:spacing w:before="11"/>
        <w:ind w:left="530"/>
        <w:jc w:val="both"/>
      </w:pPr>
      <w:hyperlink r:id="rId12">
        <w:r>
          <w:rPr>
            <w:color w:val="221F1F"/>
          </w:rPr>
          <w:t>—the</w:t>
          <w:tab/>
          <w:t>facts</w:t>
          <w:tab/>
          <w:t>2018.</w:t>
        </w:r>
      </w:hyperlink>
    </w:p>
    <w:p>
      <w:pPr>
        <w:pStyle w:val="BodyText"/>
        <w:spacing w:before="12"/>
        <w:ind w:left="530"/>
        <w:jc w:val="both"/>
      </w:pPr>
      <w:hyperlink r:id="rId12">
        <w:r>
          <w:rPr>
            <w:color w:val="221F1F"/>
          </w:rPr>
          <w:t>PlasticsEurope, Brussels.</w:t>
        </w:r>
      </w:hyperlink>
    </w:p>
    <w:p>
      <w:pPr>
        <w:pStyle w:val="ListParagraph"/>
        <w:numPr>
          <w:ilvl w:val="0"/>
          <w:numId w:val="1"/>
        </w:numPr>
        <w:tabs>
          <w:tab w:pos="671" w:val="left" w:leader="none"/>
          <w:tab w:pos="3355" w:val="left" w:leader="none"/>
        </w:tabs>
        <w:spacing w:line="249" w:lineRule="auto" w:before="12" w:after="0"/>
        <w:ind w:left="530" w:right="170" w:hanging="292"/>
        <w:jc w:val="both"/>
        <w:rPr>
          <w:sz w:val="24"/>
        </w:rPr>
      </w:pPr>
      <w:r>
        <w:rPr/>
        <w:tab/>
      </w:r>
      <w:hyperlink r:id="rId12">
        <w:r>
          <w:rPr>
            <w:color w:val="221F1F"/>
            <w:sz w:val="24"/>
          </w:rPr>
          <w:t>Mondragon, G.; Kortaberria,</w:t>
        </w:r>
      </w:hyperlink>
      <w:hyperlink r:id="rId12">
        <w:r>
          <w:rPr>
            <w:color w:val="221F1F"/>
            <w:sz w:val="24"/>
          </w:rPr>
          <w:t> G.; Mendiburu, E.; González,</w:t>
        </w:r>
      </w:hyperlink>
      <w:hyperlink r:id="rId12">
        <w:r>
          <w:rPr>
            <w:color w:val="221F1F"/>
            <w:sz w:val="24"/>
          </w:rPr>
          <w:t> N.; Arbelaiz, A.; Peña-</w:t>
        </w:r>
      </w:hyperlink>
      <w:hyperlink r:id="rId12">
        <w:r>
          <w:rPr>
            <w:color w:val="221F1F"/>
            <w:sz w:val="24"/>
          </w:rPr>
          <w:t> Rodriguez,</w:t>
          <w:tab/>
        </w:r>
        <w:r>
          <w:rPr>
            <w:color w:val="221F1F"/>
            <w:spacing w:val="-9"/>
            <w:sz w:val="24"/>
          </w:rPr>
          <w:t>C.</w:t>
        </w:r>
      </w:hyperlink>
    </w:p>
    <w:p>
      <w:pPr>
        <w:pStyle w:val="BodyText"/>
        <w:spacing w:line="249" w:lineRule="auto"/>
        <w:ind w:left="530" w:right="169"/>
        <w:jc w:val="both"/>
      </w:pPr>
      <w:hyperlink r:id="rId12">
        <w:r>
          <w:rPr>
            <w:color w:val="221F1F"/>
          </w:rPr>
          <w:t>Thermomechanical recycling</w:t>
        </w:r>
      </w:hyperlink>
      <w:r>
        <w:rPr>
          <w:color w:val="221F1F"/>
        </w:rPr>
        <w:t> </w:t>
      </w:r>
      <w:hyperlink r:id="rId12">
        <w:r>
          <w:rPr>
            <w:color w:val="221F1F"/>
          </w:rPr>
          <w:t>of PA6</w:t>
        </w:r>
      </w:hyperlink>
      <w:r>
        <w:rPr>
          <w:color w:val="221F1F"/>
        </w:rPr>
        <w:t> from fishing </w:t>
      </w:r>
      <w:r>
        <w:rPr>
          <w:color w:val="221F1F"/>
          <w:spacing w:val="-3"/>
        </w:rPr>
        <w:t>nets  </w:t>
      </w:r>
      <w:hyperlink r:id="rId13">
        <w:r>
          <w:rPr>
            <w:color w:val="221F1F"/>
          </w:rPr>
          <w:t>waste. J. Appl. Polym. Sci.</w:t>
        </w:r>
      </w:hyperlink>
      <w:r>
        <w:rPr>
          <w:color w:val="221F1F"/>
        </w:rPr>
        <w:t> </w:t>
      </w:r>
      <w:hyperlink r:id="rId13">
        <w:r>
          <w:rPr>
            <w:color w:val="221F1F"/>
          </w:rPr>
          <w:t>019, 137:4844-4850.</w:t>
        </w:r>
      </w:hyperlink>
    </w:p>
    <w:p>
      <w:pPr>
        <w:pStyle w:val="ListParagraph"/>
        <w:numPr>
          <w:ilvl w:val="0"/>
          <w:numId w:val="1"/>
        </w:numPr>
        <w:tabs>
          <w:tab w:pos="1170" w:val="left" w:leader="none"/>
        </w:tabs>
        <w:spacing w:line="249" w:lineRule="auto" w:before="2" w:after="0"/>
        <w:ind w:left="530" w:right="170" w:hanging="42"/>
        <w:jc w:val="both"/>
        <w:rPr>
          <w:sz w:val="24"/>
        </w:rPr>
      </w:pPr>
      <w:hyperlink r:id="rId13">
        <w:r>
          <w:rPr>
            <w:color w:val="221F1F"/>
            <w:sz w:val="24"/>
          </w:rPr>
          <w:t>Mendiburu-Valor, E.;</w:t>
        </w:r>
      </w:hyperlink>
      <w:hyperlink r:id="rId13">
        <w:r>
          <w:rPr>
            <w:color w:val="221F1F"/>
            <w:sz w:val="24"/>
          </w:rPr>
          <w:t> Mondragon, G.; González, N.;</w:t>
        </w:r>
      </w:hyperlink>
      <w:hyperlink r:id="rId13">
        <w:r>
          <w:rPr>
            <w:color w:val="221F1F"/>
            <w:sz w:val="24"/>
          </w:rPr>
          <w:t> Kortaberria, G.; Martin, L.;</w:t>
        </w:r>
      </w:hyperlink>
      <w:hyperlink r:id="rId13">
        <w:r>
          <w:rPr>
            <w:color w:val="221F1F"/>
            <w:sz w:val="24"/>
          </w:rPr>
          <w:t> Eceiza, A. Valorization of</w:t>
        </w:r>
      </w:hyperlink>
      <w:hyperlink r:id="rId14">
        <w:r>
          <w:rPr>
            <w:color w:val="221F1F"/>
            <w:sz w:val="24"/>
          </w:rPr>
          <w:t> urban and marine PET</w:t>
        </w:r>
        <w:r>
          <w:rPr>
            <w:color w:val="221F1F"/>
            <w:spacing w:val="25"/>
            <w:sz w:val="24"/>
          </w:rPr>
          <w:t> </w:t>
        </w:r>
        <w:r>
          <w:rPr>
            <w:color w:val="221F1F"/>
            <w:sz w:val="24"/>
          </w:rPr>
          <w:t>waste</w:t>
        </w:r>
      </w:hyperlink>
    </w:p>
    <w:p>
      <w:pPr>
        <w:spacing w:after="0" w:line="249" w:lineRule="auto"/>
        <w:jc w:val="both"/>
        <w:rPr>
          <w:sz w:val="24"/>
        </w:rPr>
        <w:sectPr>
          <w:pgSz w:w="12240" w:h="15840"/>
          <w:pgMar w:header="0" w:footer="311" w:top="2060" w:bottom="500" w:left="520" w:right="460"/>
          <w:cols w:num="3" w:equalWidth="0">
            <w:col w:w="3655" w:space="40"/>
            <w:col w:w="3677" w:space="139"/>
            <w:col w:w="3749"/>
          </w:cols>
        </w:sectPr>
      </w:pPr>
    </w:p>
    <w:p>
      <w:pPr>
        <w:pStyle w:val="BodyText"/>
        <w:spacing w:line="248" w:lineRule="exact"/>
        <w:ind w:left="3880"/>
      </w:pPr>
      <w:r>
        <w:rPr/>
        <w:pict>
          <v:shape style="position:absolute;margin-left:31pt;margin-top:-48.876816pt;width:174pt;height:81pt;mso-position-horizontal-relative:page;mso-position-vertical-relative:paragraph;z-index:15734784" type="#_x0000_t202" filled="true" fillcolor="#fadbe9" stroked="false">
            <v:textbox inset="0,0,0,0">
              <w:txbxContent>
                <w:p>
                  <w:pPr>
                    <w:spacing w:line="265" w:lineRule="exact" w:before="0"/>
                    <w:ind w:left="100" w:right="0" w:firstLine="0"/>
                    <w:jc w:val="left"/>
                    <w:rPr>
                      <w:b/>
                      <w:sz w:val="24"/>
                    </w:rPr>
                  </w:pPr>
                  <w:r>
                    <w:rPr>
                      <w:b/>
                      <w:color w:val="211E1F"/>
                      <w:sz w:val="24"/>
                    </w:rPr>
                    <w:t>Corresponding Author:</w:t>
                  </w:r>
                </w:p>
                <w:p>
                  <w:pPr>
                    <w:spacing w:before="105"/>
                    <w:ind w:left="99" w:right="0" w:firstLine="0"/>
                    <w:jc w:val="left"/>
                    <w:rPr>
                      <w:b/>
                      <w:sz w:val="24"/>
                    </w:rPr>
                  </w:pPr>
                  <w:hyperlink r:id="rId15">
                    <w:r>
                      <w:rPr>
                        <w:b/>
                        <w:sz w:val="24"/>
                      </w:rPr>
                      <w:t>Cristina Peña-Rodriguez</w:t>
                    </w:r>
                  </w:hyperlink>
                </w:p>
                <w:p>
                  <w:pPr>
                    <w:pStyle w:val="BodyText"/>
                    <w:spacing w:line="252" w:lineRule="auto" w:before="14"/>
                    <w:ind w:left="100"/>
                  </w:pPr>
                  <w:hyperlink r:id="rId15">
                    <w:r>
                      <w:rPr/>
                      <w:t>PhD Materials Engineering University of the Basque Country E: cristina.pr@ehu.eus</w:t>
                    </w:r>
                  </w:hyperlink>
                </w:p>
              </w:txbxContent>
            </v:textbox>
            <v:fill type="solid"/>
            <w10:wrap type="none"/>
          </v:shape>
        </w:pict>
      </w:r>
      <w:r>
        <w:rPr/>
        <w:t>knowledge, innovation and equity.</w:t>
      </w:r>
    </w:p>
    <w:p>
      <w:pPr>
        <w:pStyle w:val="BodyText"/>
        <w:tabs>
          <w:tab w:pos="1244" w:val="left" w:leader="none"/>
        </w:tabs>
        <w:spacing w:before="1"/>
        <w:ind w:left="514"/>
      </w:pPr>
      <w:r>
        <w:rPr/>
        <w:br w:type="column"/>
      </w:r>
      <w:hyperlink r:id="rId14">
        <w:r>
          <w:rPr>
            <w:color w:val="221F1F"/>
          </w:rPr>
          <w:t>by</w:t>
          <w:tab/>
        </w:r>
        <w:r>
          <w:rPr>
            <w:color w:val="221F1F"/>
            <w:spacing w:val="-3"/>
          </w:rPr>
          <w:t>optimized</w:t>
        </w:r>
      </w:hyperlink>
    </w:p>
    <w:p>
      <w:pPr>
        <w:pStyle w:val="BodyText"/>
        <w:spacing w:before="1"/>
        <w:ind w:left="729"/>
      </w:pPr>
      <w:r>
        <w:rPr/>
        <w:br w:type="column"/>
      </w:r>
      <w:hyperlink r:id="rId14">
        <w:r>
          <w:rPr>
            <w:color w:val="221F1F"/>
          </w:rPr>
          <w:t>chemical</w:t>
        </w:r>
      </w:hyperlink>
    </w:p>
    <w:p>
      <w:pPr>
        <w:spacing w:after="0"/>
        <w:sectPr>
          <w:type w:val="continuous"/>
          <w:pgSz w:w="12240" w:h="15840"/>
          <w:pgMar w:top="2060" w:bottom="500" w:left="520" w:right="460"/>
          <w:cols w:num="3" w:equalWidth="0">
            <w:col w:w="7208" w:space="40"/>
            <w:col w:w="2205" w:space="39"/>
            <w:col w:w="1768"/>
          </w:cols>
        </w:sectPr>
      </w:pPr>
    </w:p>
    <w:p>
      <w:pPr>
        <w:pStyle w:val="BodyText"/>
        <w:spacing w:before="10"/>
        <w:rPr>
          <w:sz w:val="34"/>
        </w:rPr>
      </w:pPr>
    </w:p>
    <w:p>
      <w:pPr>
        <w:pStyle w:val="Heading1"/>
      </w:pPr>
      <w:r>
        <w:rPr/>
        <w:pict>
          <v:group style="position:absolute;margin-left:36pt;margin-top:19.137581pt;width:174.4pt;height:81pt;mso-position-horizontal-relative:page;mso-position-vertical-relative:paragraph;z-index:15734272" coordorigin="720,383" coordsize="3488,1620">
            <v:shape style="position:absolute;left:740;top:402;width:3448;height:1580" coordorigin="740,403" coordsize="3448,1580" path="m840,403l801,411,769,433,748,464,740,503,740,1883,748,1922,769,1954,801,1975,840,1983,4088,1983,4127,1975,4159,1954,4180,1922,4188,1883,4188,503,4180,464,4159,433,4127,411,4088,403,840,403xe" filled="false" stroked="true" strokeweight="2pt" strokecolor="#6c1038">
              <v:path arrowok="t"/>
              <v:stroke dashstyle="solid"/>
            </v:shape>
            <v:shape style="position:absolute;left:1175;top:647;width:2576;height:1120" type="#_x0000_t75" stroked="false">
              <v:imagedata r:id="rId16" o:title=""/>
            </v:shape>
            <w10:wrap type="none"/>
          </v:group>
        </w:pict>
      </w:r>
      <w:r>
        <w:rPr>
          <w:color w:val="6C1038"/>
        </w:rPr>
        <w:t>About University</w:t>
      </w:r>
    </w:p>
    <w:p>
      <w:pPr>
        <w:pStyle w:val="BodyText"/>
        <w:spacing w:line="249" w:lineRule="auto" w:before="45"/>
        <w:ind w:left="200" w:right="38"/>
        <w:jc w:val="both"/>
      </w:pPr>
      <w:r>
        <w:rPr/>
        <w:br w:type="column"/>
      </w:r>
      <w:r>
        <w:rPr/>
        <w:t>As </w:t>
      </w:r>
      <w:hyperlink r:id="rId17">
        <w:r>
          <w:rPr/>
          <w:t>public institution we </w:t>
        </w:r>
        <w:r>
          <w:rPr>
            <w:spacing w:val="-5"/>
          </w:rPr>
          <w:t>are</w:t>
        </w:r>
      </w:hyperlink>
      <w:r>
        <w:rPr>
          <w:spacing w:val="-5"/>
        </w:rPr>
        <w:t> </w:t>
      </w:r>
      <w:hyperlink r:id="rId17">
        <w:r>
          <w:rPr/>
          <w:t>community-funded and both </w:t>
        </w:r>
        <w:r>
          <w:rPr>
            <w:spacing w:val="-4"/>
          </w:rPr>
          <w:t>fees</w:t>
        </w:r>
      </w:hyperlink>
      <w:r>
        <w:rPr>
          <w:spacing w:val="52"/>
        </w:rPr>
        <w:t> </w:t>
      </w:r>
      <w:hyperlink r:id="rId17">
        <w:r>
          <w:rPr/>
          <w:t>and services rely only to a small</w:t>
        </w:r>
      </w:hyperlink>
      <w:r>
        <w:rPr/>
        <w:t> </w:t>
      </w:r>
      <w:hyperlink r:id="rId17">
        <w:r>
          <w:rPr/>
          <w:t>extent on students: our </w:t>
        </w:r>
      </w:hyperlink>
      <w:r>
        <w:rPr/>
        <w:t>university is </w:t>
      </w:r>
      <w:hyperlink r:id="rId18">
        <w:r>
          <w:rPr/>
          <w:t>owped by all open to all.</w:t>
        </w:r>
      </w:hyperlink>
    </w:p>
    <w:p>
      <w:pPr>
        <w:pStyle w:val="BodyText"/>
        <w:tabs>
          <w:tab w:pos="1712" w:val="left" w:leader="none"/>
          <w:tab w:pos="2281" w:val="left" w:leader="none"/>
          <w:tab w:pos="2478" w:val="left" w:leader="none"/>
        </w:tabs>
        <w:spacing w:line="249" w:lineRule="auto" w:before="11"/>
        <w:ind w:left="209" w:right="170" w:hanging="10"/>
      </w:pPr>
      <w:r>
        <w:rPr/>
        <w:br w:type="column"/>
      </w:r>
      <w:hyperlink r:id="rId14">
        <w:r>
          <w:rPr>
            <w:color w:val="221F1F"/>
          </w:rPr>
          <w:t>recycling.</w:t>
          <w:tab/>
          <w:tab/>
          <w:tab/>
        </w:r>
        <w:r>
          <w:rPr>
            <w:color w:val="221F1F"/>
            <w:spacing w:val="-1"/>
          </w:rPr>
          <w:t>Resources,</w:t>
        </w:r>
      </w:hyperlink>
      <w:r>
        <w:rPr>
          <w:color w:val="221F1F"/>
          <w:spacing w:val="-1"/>
        </w:rPr>
        <w:t> </w:t>
      </w:r>
      <w:hyperlink r:id="rId14">
        <w:r>
          <w:rPr>
            <w:color w:val="221F1F"/>
          </w:rPr>
          <w:t>Conservation</w:t>
          <w:tab/>
          <w:t>and</w:t>
        </w:r>
      </w:hyperlink>
      <w:r>
        <w:rPr>
          <w:color w:val="221F1F"/>
        </w:rPr>
        <w:tab/>
        <w:t>Recycling </w:t>
      </w:r>
      <w:hyperlink r:id="rId19">
        <w:r>
          <w:rPr>
            <w:color w:val="221F1F"/>
          </w:rPr>
          <w:t>2022, 184,106413-106420</w:t>
        </w:r>
      </w:hyperlink>
    </w:p>
    <w:p>
      <w:pPr>
        <w:pStyle w:val="ListParagraph"/>
        <w:numPr>
          <w:ilvl w:val="0"/>
          <w:numId w:val="1"/>
        </w:numPr>
        <w:tabs>
          <w:tab w:pos="1038" w:val="left" w:leader="none"/>
          <w:tab w:pos="1040" w:val="left" w:leader="none"/>
        </w:tabs>
        <w:spacing w:line="249" w:lineRule="auto" w:before="2" w:after="0"/>
        <w:ind w:left="263" w:right="115" w:hanging="42"/>
        <w:jc w:val="both"/>
        <w:rPr>
          <w:sz w:val="24"/>
        </w:rPr>
      </w:pPr>
      <w:hyperlink r:id="rId19">
        <w:r>
          <w:rPr>
            <w:color w:val="221F1F"/>
            <w:sz w:val="24"/>
          </w:rPr>
          <w:t>Mendiburu-Valor, E.;</w:t>
        </w:r>
      </w:hyperlink>
      <w:hyperlink r:id="rId19">
        <w:r>
          <w:rPr>
            <w:color w:val="221F1F"/>
            <w:sz w:val="24"/>
          </w:rPr>
          <w:t> Mondragon, G.; González, N.;</w:t>
        </w:r>
      </w:hyperlink>
      <w:hyperlink r:id="rId19">
        <w:r>
          <w:rPr>
            <w:color w:val="221F1F"/>
            <w:sz w:val="24"/>
          </w:rPr>
          <w:t> Kortaberria, G.; Eceiza, A.;</w:t>
        </w:r>
      </w:hyperlink>
      <w:hyperlink r:id="rId19">
        <w:r>
          <w:rPr>
            <w:color w:val="221F1F"/>
            <w:sz w:val="24"/>
          </w:rPr>
          <w:t> Peña-Rodriguez, C. Improving</w:t>
        </w:r>
      </w:hyperlink>
      <w:r>
        <w:rPr>
          <w:color w:val="221F1F"/>
          <w:sz w:val="24"/>
        </w:rPr>
        <w:t> </w:t>
      </w:r>
      <w:hyperlink r:id="rId19">
        <w:r>
          <w:rPr>
            <w:color w:val="221F1F"/>
            <w:sz w:val="24"/>
          </w:rPr>
          <w:t> the efficiency for</w:t>
        </w:r>
        <w:r>
          <w:rPr>
            <w:color w:val="221F1F"/>
            <w:spacing w:val="18"/>
            <w:sz w:val="24"/>
          </w:rPr>
          <w:t> </w:t>
        </w:r>
        <w:r>
          <w:rPr>
            <w:color w:val="221F1F"/>
            <w:sz w:val="24"/>
          </w:rPr>
          <w:t>the</w:t>
        </w:r>
      </w:hyperlink>
    </w:p>
    <w:p>
      <w:pPr>
        <w:spacing w:after="0" w:line="249" w:lineRule="auto"/>
        <w:jc w:val="both"/>
        <w:rPr>
          <w:sz w:val="24"/>
        </w:rPr>
        <w:sectPr>
          <w:type w:val="continuous"/>
          <w:pgSz w:w="12240" w:h="15840"/>
          <w:pgMar w:top="2060" w:bottom="500" w:left="520" w:right="460"/>
          <w:cols w:num="3" w:equalWidth="0">
            <w:col w:w="2120" w:space="1560"/>
            <w:col w:w="3724" w:space="158"/>
            <w:col w:w="3698"/>
          </w:cols>
        </w:sectPr>
      </w:pPr>
    </w:p>
    <w:p>
      <w:pPr>
        <w:pStyle w:val="Heading1"/>
        <w:spacing w:line="176" w:lineRule="exact" w:before="121"/>
        <w:ind w:left="3878"/>
      </w:pPr>
      <w:r>
        <w:rPr>
          <w:color w:val="6C1038"/>
        </w:rPr>
        <w:t>Acknowledgements</w:t>
      </w:r>
    </w:p>
    <w:p>
      <w:pPr>
        <w:pStyle w:val="BodyText"/>
        <w:tabs>
          <w:tab w:pos="3304" w:val="left" w:leader="none"/>
        </w:tabs>
        <w:ind w:left="1681"/>
      </w:pPr>
      <w:r>
        <w:rPr/>
        <w:br w:type="column"/>
      </w:r>
      <w:hyperlink r:id="rId19">
        <w:r>
          <w:rPr>
            <w:color w:val="221F1F"/>
          </w:rPr>
          <w:t>production</w:t>
          <w:tab/>
        </w:r>
        <w:r>
          <w:rPr>
            <w:color w:val="221F1F"/>
            <w:spacing w:val="-10"/>
          </w:rPr>
          <w:t>of</w:t>
        </w:r>
      </w:hyperlink>
    </w:p>
    <w:p>
      <w:pPr>
        <w:pStyle w:val="BodyText"/>
        <w:ind w:left="823"/>
      </w:pPr>
      <w:r>
        <w:rPr/>
        <w:br w:type="column"/>
      </w:r>
      <w:hyperlink r:id="rId19">
        <w:r>
          <w:rPr>
            <w:color w:val="221F1F"/>
          </w:rPr>
          <w:t>bis-(2-</w:t>
        </w:r>
      </w:hyperlink>
    </w:p>
    <w:p>
      <w:pPr>
        <w:spacing w:after="0"/>
        <w:sectPr>
          <w:type w:val="continuous"/>
          <w:pgSz w:w="12240" w:h="15840"/>
          <w:pgMar w:top="2060" w:bottom="500" w:left="520" w:right="460"/>
          <w:cols w:num="3" w:equalWidth="0">
            <w:col w:w="6041" w:space="40"/>
            <w:col w:w="3505" w:space="39"/>
            <w:col w:w="1635"/>
          </w:cols>
        </w:sectPr>
      </w:pPr>
    </w:p>
    <w:p>
      <w:pPr>
        <w:pStyle w:val="BodyText"/>
        <w:spacing w:line="249" w:lineRule="auto"/>
        <w:ind w:left="200"/>
        <w:jc w:val="both"/>
      </w:pPr>
      <w:r>
        <w:rPr/>
        <w:t>University of the Basque Country (UPV/EHU)</w:t>
      </w:r>
    </w:p>
    <w:p>
      <w:pPr>
        <w:pStyle w:val="BodyText"/>
        <w:spacing w:line="249" w:lineRule="auto"/>
        <w:ind w:left="200"/>
        <w:jc w:val="both"/>
      </w:pPr>
      <w:r>
        <w:rPr/>
        <w:t>In a prosperous region stretching along the Atlantic coast of northern Spain, the people of the Basque Country are the custodians of </w:t>
      </w:r>
      <w:r>
        <w:rPr>
          <w:spacing w:val="-6"/>
        </w:rPr>
        <w:t>one </w:t>
      </w:r>
      <w:r>
        <w:rPr/>
        <w:t>of Europe's most ancient languages and cultures.</w:t>
      </w:r>
    </w:p>
    <w:p>
      <w:pPr>
        <w:pStyle w:val="BodyText"/>
        <w:spacing w:line="249" w:lineRule="auto" w:before="182"/>
        <w:ind w:left="160" w:right="38"/>
        <w:jc w:val="both"/>
      </w:pPr>
      <w:r>
        <w:rPr/>
        <w:br w:type="column"/>
      </w:r>
      <w:r>
        <w:rPr/>
        <w:t>This work was supported by the Provincial Council of Gipuzkoa (Itsas-Mikro 2019-2022). The authors would like to thank the University of the Basque Country (GIU18/216)</w:t>
      </w:r>
    </w:p>
    <w:p>
      <w:pPr>
        <w:pStyle w:val="BodyText"/>
        <w:tabs>
          <w:tab w:pos="2406" w:val="left" w:leader="none"/>
        </w:tabs>
        <w:spacing w:line="249" w:lineRule="auto"/>
        <w:ind w:left="209" w:right="169" w:hanging="10"/>
        <w:jc w:val="both"/>
      </w:pPr>
      <w:r>
        <w:rPr/>
        <w:br w:type="column"/>
      </w:r>
      <w:hyperlink r:id="rId19">
        <w:r>
          <w:rPr>
            <w:color w:val="221F1F"/>
          </w:rPr>
          <w:t>hydroxyethyl)</w:t>
          <w:tab/>
        </w:r>
        <w:r>
          <w:rPr>
            <w:color w:val="221F1F"/>
            <w:spacing w:val="-2"/>
          </w:rPr>
          <w:t>terephtalate</w:t>
        </w:r>
      </w:hyperlink>
      <w:r>
        <w:rPr>
          <w:color w:val="221F1F"/>
          <w:spacing w:val="-2"/>
        </w:rPr>
        <w:t> </w:t>
      </w:r>
      <w:hyperlink r:id="rId19">
        <w:r>
          <w:rPr>
            <w:color w:val="221F1F"/>
          </w:rPr>
          <w:t>(BHET) from the</w:t>
        </w:r>
      </w:hyperlink>
      <w:r>
        <w:rPr>
          <w:color w:val="221F1F"/>
        </w:rPr>
        <w:t> glycolysis </w:t>
      </w:r>
      <w:hyperlink r:id="rId20">
        <w:r>
          <w:rPr>
            <w:color w:val="221F1F"/>
          </w:rPr>
          <w:t>reaction of poly(ethylene</w:t>
        </w:r>
      </w:hyperlink>
      <w:r>
        <w:rPr>
          <w:color w:val="221F1F"/>
        </w:rPr>
        <w:t> </w:t>
      </w:r>
      <w:hyperlink r:id="rId20">
        <w:r>
          <w:rPr>
            <w:color w:val="221F1F"/>
          </w:rPr>
          <w:t>terephtalate)  (PET)  in  a</w:t>
        </w:r>
      </w:hyperlink>
      <w:r>
        <w:rPr>
          <w:color w:val="221F1F"/>
        </w:rPr>
        <w:t>  </w:t>
      </w:r>
      <w:hyperlink r:id="rId20">
        <w:r>
          <w:rPr>
            <w:color w:val="221F1F"/>
          </w:rPr>
          <w:t>Pressure  Reactor.  Polymers</w:t>
        </w:r>
      </w:hyperlink>
      <w:r>
        <w:rPr>
          <w:color w:val="221F1F"/>
        </w:rPr>
        <w:t> </w:t>
      </w:r>
      <w:hyperlink r:id="rId20">
        <w:r>
          <w:rPr>
            <w:color w:val="221F1F"/>
          </w:rPr>
          <w:t>2021, 13, 1461-1474</w:t>
        </w:r>
      </w:hyperlink>
    </w:p>
    <w:p>
      <w:pPr>
        <w:spacing w:after="0" w:line="249" w:lineRule="auto"/>
        <w:jc w:val="both"/>
        <w:sectPr>
          <w:type w:val="continuous"/>
          <w:pgSz w:w="12240" w:h="15840"/>
          <w:pgMar w:top="2060" w:bottom="500" w:left="520" w:right="460"/>
          <w:cols w:num="3" w:equalWidth="0">
            <w:col w:w="3652" w:space="40"/>
            <w:col w:w="3712" w:space="157"/>
            <w:col w:w="3699"/>
          </w:cols>
        </w:sectPr>
      </w:pPr>
    </w:p>
    <w:p>
      <w:pPr>
        <w:pStyle w:val="BodyText"/>
        <w:spacing w:before="8"/>
        <w:rPr>
          <w:sz w:val="10"/>
        </w:rPr>
      </w:pPr>
      <w:r>
        <w:rPr/>
        <w:drawing>
          <wp:anchor distT="0" distB="0" distL="0" distR="0" allowOverlap="1" layoutInCell="1" locked="0" behindDoc="0" simplePos="0" relativeHeight="15732224">
            <wp:simplePos x="0" y="0"/>
            <wp:positionH relativeFrom="page">
              <wp:posOffset>672922</wp:posOffset>
            </wp:positionH>
            <wp:positionV relativeFrom="page">
              <wp:posOffset>9751073</wp:posOffset>
            </wp:positionV>
            <wp:extent cx="691819" cy="117538"/>
            <wp:effectExtent l="0" t="0" r="0" b="0"/>
            <wp:wrapNone/>
            <wp:docPr id="7" name="image2.png"/>
            <wp:cNvGraphicFramePr>
              <a:graphicFrameLocks noChangeAspect="1"/>
            </wp:cNvGraphicFramePr>
            <a:graphic>
              <a:graphicData uri="http://schemas.openxmlformats.org/drawingml/2006/picture">
                <pic:pic>
                  <pic:nvPicPr>
                    <pic:cNvPr id="8" name="image2.png"/>
                    <pic:cNvPicPr/>
                  </pic:nvPicPr>
                  <pic:blipFill>
                    <a:blip r:embed="rId7" cstate="print"/>
                    <a:stretch>
                      <a:fillRect/>
                    </a:stretch>
                  </pic:blipFill>
                  <pic:spPr>
                    <a:xfrm>
                      <a:off x="0" y="0"/>
                      <a:ext cx="691819" cy="117538"/>
                    </a:xfrm>
                    <a:prstGeom prst="rect">
                      <a:avLst/>
                    </a:prstGeom>
                  </pic:spPr>
                </pic:pic>
              </a:graphicData>
            </a:graphic>
          </wp:anchor>
        </w:drawing>
      </w:r>
      <w:r>
        <w:rPr/>
        <w:drawing>
          <wp:anchor distT="0" distB="0" distL="0" distR="0" allowOverlap="1" layoutInCell="1" locked="0" behindDoc="0" simplePos="0" relativeHeight="15732736">
            <wp:simplePos x="0" y="0"/>
            <wp:positionH relativeFrom="page">
              <wp:posOffset>2518536</wp:posOffset>
            </wp:positionH>
            <wp:positionV relativeFrom="page">
              <wp:posOffset>9770922</wp:posOffset>
            </wp:positionV>
            <wp:extent cx="2768091" cy="115138"/>
            <wp:effectExtent l="0" t="0" r="0" b="0"/>
            <wp:wrapNone/>
            <wp:docPr id="9" name="image3.png"/>
            <wp:cNvGraphicFramePr>
              <a:graphicFrameLocks noChangeAspect="1"/>
            </wp:cNvGraphicFramePr>
            <a:graphic>
              <a:graphicData uri="http://schemas.openxmlformats.org/drawingml/2006/picture">
                <pic:pic>
                  <pic:nvPicPr>
                    <pic:cNvPr id="10" name="image3.png"/>
                    <pic:cNvPicPr/>
                  </pic:nvPicPr>
                  <pic:blipFill>
                    <a:blip r:embed="rId8" cstate="print"/>
                    <a:stretch>
                      <a:fillRect/>
                    </a:stretch>
                  </pic:blipFill>
                  <pic:spPr>
                    <a:xfrm>
                      <a:off x="0" y="0"/>
                      <a:ext cx="2768091" cy="115138"/>
                    </a:xfrm>
                    <a:prstGeom prst="rect">
                      <a:avLst/>
                    </a:prstGeom>
                  </pic:spPr>
                </pic:pic>
              </a:graphicData>
            </a:graphic>
          </wp:anchor>
        </w:drawing>
      </w:r>
      <w:r>
        <w:rPr/>
        <w:pict>
          <v:rect style="position:absolute;margin-left:310.079987pt;margin-top:784.799988pt;width:11.04pt;height:5.76pt;mso-position-horizontal-relative:page;mso-position-vertical-relative:page;z-index:15733248" filled="true" fillcolor="#ffffff" stroked="false">
            <v:fill type="solid"/>
            <w10:wrap type="none"/>
          </v:rect>
        </w:pict>
      </w:r>
    </w:p>
    <w:p>
      <w:pPr>
        <w:spacing w:line="247" w:lineRule="auto" w:before="86"/>
        <w:ind w:left="204" w:right="192" w:firstLine="0"/>
        <w:jc w:val="left"/>
        <w:rPr>
          <w:i/>
          <w:sz w:val="22"/>
        </w:rPr>
      </w:pPr>
      <w:r>
        <w:rPr/>
        <w:drawing>
          <wp:anchor distT="0" distB="0" distL="0" distR="0" allowOverlap="1" layoutInCell="1" locked="0" behindDoc="0" simplePos="0" relativeHeight="15733760">
            <wp:simplePos x="0" y="0"/>
            <wp:positionH relativeFrom="page">
              <wp:posOffset>6475984</wp:posOffset>
            </wp:positionH>
            <wp:positionV relativeFrom="paragraph">
              <wp:posOffset>663805</wp:posOffset>
            </wp:positionV>
            <wp:extent cx="785241" cy="108826"/>
            <wp:effectExtent l="0" t="0" r="0" b="0"/>
            <wp:wrapNone/>
            <wp:docPr id="11" name="image5.png"/>
            <wp:cNvGraphicFramePr>
              <a:graphicFrameLocks noChangeAspect="1"/>
            </wp:cNvGraphicFramePr>
            <a:graphic>
              <a:graphicData uri="http://schemas.openxmlformats.org/drawingml/2006/picture">
                <pic:pic>
                  <pic:nvPicPr>
                    <pic:cNvPr id="12" name="image5.png"/>
                    <pic:cNvPicPr/>
                  </pic:nvPicPr>
                  <pic:blipFill>
                    <a:blip r:embed="rId10" cstate="print"/>
                    <a:stretch>
                      <a:fillRect/>
                    </a:stretch>
                  </pic:blipFill>
                  <pic:spPr>
                    <a:xfrm>
                      <a:off x="0" y="0"/>
                      <a:ext cx="785241" cy="108826"/>
                    </a:xfrm>
                    <a:prstGeom prst="rect">
                      <a:avLst/>
                    </a:prstGeom>
                  </pic:spPr>
                </pic:pic>
              </a:graphicData>
            </a:graphic>
          </wp:anchor>
        </w:drawing>
      </w:r>
      <w:r>
        <w:rPr>
          <w:color w:val="6C1038"/>
          <w:w w:val="99"/>
          <w:sz w:val="24"/>
        </w:rPr>
        <w:t>N</w:t>
      </w:r>
      <w:r>
        <w:rPr>
          <w:color w:val="6C1038"/>
          <w:spacing w:val="-1"/>
          <w:w w:val="99"/>
          <w:sz w:val="24"/>
        </w:rPr>
        <w:t>O</w:t>
      </w:r>
      <w:r>
        <w:rPr>
          <w:color w:val="6C1038"/>
          <w:sz w:val="24"/>
        </w:rPr>
        <w:t>TE</w:t>
      </w:r>
      <w:r>
        <w:rPr>
          <w:color w:val="221F1F"/>
          <w:sz w:val="24"/>
        </w:rPr>
        <w:t>: </w:t>
      </w:r>
      <w:r>
        <w:rPr>
          <w:i/>
          <w:color w:val="221F1F"/>
          <w:w w:val="100"/>
          <w:sz w:val="22"/>
        </w:rPr>
        <w:t>This</w:t>
      </w:r>
      <w:r>
        <w:rPr>
          <w:i/>
          <w:color w:val="221F1F"/>
          <w:sz w:val="22"/>
        </w:rPr>
        <w:t> </w:t>
      </w:r>
      <w:r>
        <w:rPr>
          <w:i/>
          <w:color w:val="221F1F"/>
          <w:spacing w:val="-2"/>
          <w:w w:val="100"/>
          <w:sz w:val="22"/>
        </w:rPr>
        <w:t>i</w:t>
      </w:r>
      <w:r>
        <w:rPr>
          <w:i/>
          <w:color w:val="221F1F"/>
          <w:w w:val="100"/>
          <w:sz w:val="22"/>
        </w:rPr>
        <w:t>s</w:t>
      </w:r>
      <w:r>
        <w:rPr>
          <w:i/>
          <w:color w:val="221F1F"/>
          <w:sz w:val="22"/>
        </w:rPr>
        <w:t> </w:t>
      </w:r>
      <w:r>
        <w:rPr>
          <w:i/>
          <w:color w:val="221F1F"/>
          <w:w w:val="100"/>
          <w:sz w:val="22"/>
        </w:rPr>
        <w:t>a</w:t>
      </w:r>
      <w:r>
        <w:rPr>
          <w:i/>
          <w:color w:val="221F1F"/>
          <w:sz w:val="22"/>
        </w:rPr>
        <w:t> </w:t>
      </w:r>
      <w:r>
        <w:rPr>
          <w:i/>
          <w:color w:val="221F1F"/>
          <w:w w:val="100"/>
          <w:sz w:val="22"/>
        </w:rPr>
        <w:t>s</w:t>
      </w:r>
      <w:r>
        <w:rPr>
          <w:i/>
          <w:color w:val="221F1F"/>
          <w:w w:val="100"/>
          <w:sz w:val="22"/>
        </w:rPr>
        <w:t>a</w:t>
      </w:r>
      <w:r>
        <w:rPr>
          <w:i/>
          <w:color w:val="221F1F"/>
          <w:spacing w:val="-2"/>
          <w:w w:val="100"/>
          <w:sz w:val="22"/>
        </w:rPr>
        <w:t>m</w:t>
      </w:r>
      <w:r>
        <w:rPr>
          <w:i/>
          <w:color w:val="221F1F"/>
          <w:spacing w:val="-3"/>
          <w:w w:val="100"/>
          <w:sz w:val="22"/>
        </w:rPr>
        <w:t>p</w:t>
      </w:r>
      <w:r>
        <w:rPr>
          <w:i/>
          <w:color w:val="221F1F"/>
          <w:w w:val="100"/>
          <w:sz w:val="22"/>
        </w:rPr>
        <w:t>le</w:t>
      </w:r>
      <w:r>
        <w:rPr>
          <w:i/>
          <w:color w:val="221F1F"/>
          <w:sz w:val="22"/>
        </w:rPr>
        <w:t> </w:t>
      </w:r>
      <w:r>
        <w:rPr>
          <w:i/>
          <w:color w:val="221F1F"/>
          <w:spacing w:val="-2"/>
          <w:w w:val="100"/>
          <w:sz w:val="22"/>
        </w:rPr>
        <w:t>p</w:t>
      </w:r>
      <w:r>
        <w:rPr>
          <w:i/>
          <w:color w:val="221F1F"/>
          <w:spacing w:val="-2"/>
          <w:w w:val="100"/>
          <w:sz w:val="22"/>
        </w:rPr>
        <w:t>r</w:t>
      </w:r>
      <w:r>
        <w:rPr>
          <w:i/>
          <w:color w:val="221F1F"/>
          <w:w w:val="100"/>
          <w:sz w:val="22"/>
        </w:rPr>
        <w:t>ocee</w:t>
      </w:r>
      <w:r>
        <w:rPr>
          <w:i/>
          <w:color w:val="221F1F"/>
          <w:spacing w:val="-2"/>
          <w:w w:val="100"/>
          <w:sz w:val="22"/>
        </w:rPr>
        <w:t>d</w:t>
      </w:r>
      <w:r>
        <w:rPr>
          <w:i/>
          <w:color w:val="221F1F"/>
          <w:w w:val="100"/>
          <w:sz w:val="22"/>
        </w:rPr>
        <w:t>i</w:t>
      </w:r>
      <w:r>
        <w:rPr>
          <w:i/>
          <w:color w:val="221F1F"/>
          <w:w w:val="100"/>
          <w:sz w:val="22"/>
        </w:rPr>
        <w:t>ngs</w:t>
      </w:r>
      <w:r>
        <w:rPr>
          <w:i/>
          <w:color w:val="221F1F"/>
          <w:sz w:val="22"/>
        </w:rPr>
        <w:t> </w:t>
      </w:r>
      <w:hyperlink r:id="rId11">
        <w:r>
          <w:rPr>
            <w:i/>
            <w:color w:val="221F1F"/>
            <w:w w:val="100"/>
            <w:sz w:val="22"/>
          </w:rPr>
          <w:t>ab</w:t>
        </w:r>
        <w:r>
          <w:rPr>
            <w:i/>
            <w:color w:val="221F1F"/>
            <w:spacing w:val="-8"/>
            <w:w w:val="100"/>
            <w:sz w:val="22"/>
          </w:rPr>
          <w:t>s</w:t>
        </w:r>
        <w:r>
          <w:rPr>
            <w:color w:val="221F1F"/>
            <w:spacing w:val="-106"/>
            <w:w w:val="92"/>
            <w:position w:val="5"/>
            <w:sz w:val="24"/>
          </w:rPr>
          <w:t>4</w:t>
        </w:r>
        <w:r>
          <w:rPr>
            <w:i/>
            <w:color w:val="221F1F"/>
            <w:w w:val="100"/>
            <w:sz w:val="22"/>
          </w:rPr>
          <w:t>t</w:t>
        </w:r>
        <w:r>
          <w:rPr>
            <w:i/>
            <w:color w:val="221F1F"/>
            <w:spacing w:val="-44"/>
            <w:w w:val="100"/>
            <w:sz w:val="22"/>
          </w:rPr>
          <w:t>r</w:t>
        </w:r>
        <w:r>
          <w:rPr>
            <w:color w:val="221F1F"/>
            <w:spacing w:val="-13"/>
            <w:w w:val="92"/>
            <w:position w:val="5"/>
            <w:sz w:val="24"/>
          </w:rPr>
          <w:t>.</w:t>
        </w:r>
        <w:r>
          <w:rPr>
            <w:i/>
            <w:color w:val="221F1F"/>
            <w:w w:val="100"/>
            <w:sz w:val="22"/>
          </w:rPr>
          <w:t>a</w:t>
        </w:r>
        <w:r>
          <w:rPr>
            <w:i/>
            <w:color w:val="221F1F"/>
            <w:spacing w:val="-2"/>
            <w:w w:val="100"/>
            <w:sz w:val="22"/>
          </w:rPr>
          <w:t>c</w:t>
        </w:r>
        <w:r>
          <w:rPr>
            <w:i/>
            <w:color w:val="221F1F"/>
            <w:w w:val="100"/>
            <w:sz w:val="22"/>
          </w:rPr>
          <w:t>t</w:t>
        </w:r>
        <w:r>
          <w:rPr>
            <w:i/>
            <w:color w:val="221F1F"/>
            <w:sz w:val="22"/>
          </w:rPr>
          <w:t> </w:t>
        </w:r>
        <w:r>
          <w:rPr>
            <w:i/>
            <w:color w:val="221F1F"/>
            <w:w w:val="100"/>
            <w:sz w:val="22"/>
          </w:rPr>
          <w:t>temp</w:t>
        </w:r>
        <w:r>
          <w:rPr>
            <w:i/>
            <w:color w:val="221F1F"/>
            <w:spacing w:val="-2"/>
            <w:w w:val="100"/>
            <w:sz w:val="22"/>
          </w:rPr>
          <w:t>l</w:t>
        </w:r>
        <w:r>
          <w:rPr>
            <w:i/>
            <w:color w:val="221F1F"/>
            <w:w w:val="100"/>
            <w:sz w:val="22"/>
          </w:rPr>
          <w:t>a</w:t>
        </w:r>
        <w:r>
          <w:rPr>
            <w:i/>
            <w:color w:val="221F1F"/>
            <w:spacing w:val="-2"/>
            <w:w w:val="100"/>
            <w:sz w:val="22"/>
          </w:rPr>
          <w:t>t</w:t>
        </w:r>
        <w:r>
          <w:rPr>
            <w:i/>
            <w:color w:val="221F1F"/>
            <w:w w:val="100"/>
            <w:sz w:val="22"/>
          </w:rPr>
          <w:t>e.</w:t>
        </w:r>
        <w:r>
          <w:rPr>
            <w:i/>
            <w:color w:val="221F1F"/>
            <w:sz w:val="22"/>
          </w:rPr>
          <w:t> </w:t>
        </w:r>
        <w:r>
          <w:rPr>
            <w:i/>
            <w:color w:val="221F1F"/>
            <w:w w:val="100"/>
            <w:sz w:val="22"/>
          </w:rPr>
          <w:t>The</w:t>
        </w:r>
        <w:r>
          <w:rPr>
            <w:i/>
            <w:color w:val="221F1F"/>
            <w:sz w:val="22"/>
          </w:rPr>
          <w:t> </w:t>
        </w:r>
        <w:r>
          <w:rPr>
            <w:i/>
            <w:color w:val="221F1F"/>
            <w:spacing w:val="-2"/>
            <w:w w:val="100"/>
            <w:sz w:val="22"/>
          </w:rPr>
          <w:t>c</w:t>
        </w:r>
        <w:r>
          <w:rPr>
            <w:i/>
            <w:color w:val="221F1F"/>
            <w:w w:val="100"/>
            <w:sz w:val="22"/>
          </w:rPr>
          <w:t>on</w:t>
        </w:r>
        <w:r>
          <w:rPr>
            <w:i/>
            <w:color w:val="221F1F"/>
            <w:spacing w:val="-2"/>
            <w:w w:val="100"/>
            <w:sz w:val="22"/>
          </w:rPr>
          <w:t>t</w:t>
        </w:r>
        <w:r>
          <w:rPr>
            <w:i/>
            <w:color w:val="221F1F"/>
            <w:w w:val="100"/>
            <w:sz w:val="22"/>
          </w:rPr>
          <w:t>ent</w:t>
        </w:r>
        <w:r>
          <w:rPr>
            <w:i/>
            <w:color w:val="221F1F"/>
            <w:sz w:val="22"/>
          </w:rPr>
          <w:t> </w:t>
        </w:r>
        <w:r>
          <w:rPr>
            <w:i/>
            <w:color w:val="221F1F"/>
            <w:spacing w:val="-4"/>
            <w:w w:val="100"/>
            <w:sz w:val="22"/>
          </w:rPr>
          <w:t>w</w:t>
        </w:r>
        <w:r>
          <w:rPr>
            <w:i/>
            <w:color w:val="221F1F"/>
            <w:w w:val="100"/>
            <w:sz w:val="22"/>
          </w:rPr>
          <w:t>i</w:t>
        </w:r>
        <w:r>
          <w:rPr>
            <w:i/>
            <w:color w:val="221F1F"/>
            <w:spacing w:val="-2"/>
            <w:w w:val="100"/>
            <w:sz w:val="22"/>
          </w:rPr>
          <w:t>l</w:t>
        </w:r>
        <w:r>
          <w:rPr>
            <w:i/>
            <w:color w:val="221F1F"/>
            <w:w w:val="100"/>
            <w:sz w:val="22"/>
          </w:rPr>
          <w:t>l</w:t>
        </w:r>
        <w:r>
          <w:rPr>
            <w:i/>
            <w:color w:val="221F1F"/>
            <w:sz w:val="22"/>
          </w:rPr>
          <w:t> </w:t>
        </w:r>
        <w:r>
          <w:rPr>
            <w:i/>
            <w:color w:val="221F1F"/>
            <w:w w:val="100"/>
            <w:sz w:val="22"/>
          </w:rPr>
          <w:t>be</w:t>
        </w:r>
        <w:r>
          <w:rPr>
            <w:i/>
            <w:color w:val="221F1F"/>
            <w:sz w:val="22"/>
          </w:rPr>
          <w:t> </w:t>
        </w:r>
        <w:r>
          <w:rPr>
            <w:i/>
            <w:color w:val="221F1F"/>
            <w:w w:val="100"/>
            <w:sz w:val="22"/>
          </w:rPr>
          <w:t>cha</w:t>
        </w:r>
        <w:r>
          <w:rPr>
            <w:i/>
            <w:color w:val="221F1F"/>
            <w:spacing w:val="-2"/>
            <w:w w:val="100"/>
            <w:sz w:val="22"/>
          </w:rPr>
          <w:t>n</w:t>
        </w:r>
      </w:hyperlink>
      <w:r>
        <w:rPr>
          <w:i/>
          <w:color w:val="221F1F"/>
          <w:w w:val="100"/>
          <w:sz w:val="22"/>
        </w:rPr>
        <w:t>ged</w:t>
      </w:r>
      <w:r>
        <w:rPr>
          <w:i/>
          <w:color w:val="221F1F"/>
          <w:sz w:val="22"/>
        </w:rPr>
        <w:t> </w:t>
      </w:r>
      <w:r>
        <w:rPr>
          <w:i/>
          <w:color w:val="221F1F"/>
          <w:w w:val="100"/>
          <w:sz w:val="22"/>
        </w:rPr>
        <w:t>wh</w:t>
      </w:r>
      <w:r>
        <w:rPr>
          <w:i/>
          <w:color w:val="221F1F"/>
          <w:spacing w:val="-2"/>
          <w:w w:val="100"/>
          <w:sz w:val="22"/>
        </w:rPr>
        <w:t>i</w:t>
      </w:r>
      <w:r>
        <w:rPr>
          <w:i/>
          <w:color w:val="221F1F"/>
          <w:w w:val="100"/>
          <w:sz w:val="22"/>
        </w:rPr>
        <w:t>le</w:t>
      </w:r>
      <w:r>
        <w:rPr>
          <w:i/>
          <w:color w:val="221F1F"/>
          <w:sz w:val="22"/>
        </w:rPr>
        <w:t> </w:t>
      </w:r>
      <w:r>
        <w:rPr>
          <w:i/>
          <w:color w:val="221F1F"/>
          <w:spacing w:val="-2"/>
          <w:w w:val="100"/>
          <w:sz w:val="22"/>
        </w:rPr>
        <w:t>p</w:t>
      </w:r>
      <w:r>
        <w:rPr>
          <w:i/>
          <w:color w:val="221F1F"/>
          <w:w w:val="100"/>
          <w:sz w:val="22"/>
        </w:rPr>
        <w:t>ub</w:t>
      </w:r>
      <w:r>
        <w:rPr>
          <w:i/>
          <w:color w:val="221F1F"/>
          <w:spacing w:val="-2"/>
          <w:w w:val="100"/>
          <w:sz w:val="22"/>
        </w:rPr>
        <w:t>l</w:t>
      </w:r>
      <w:r>
        <w:rPr>
          <w:i/>
          <w:color w:val="221F1F"/>
          <w:w w:val="100"/>
          <w:sz w:val="22"/>
        </w:rPr>
        <w:t>i</w:t>
      </w:r>
      <w:r>
        <w:rPr>
          <w:i/>
          <w:color w:val="221F1F"/>
          <w:w w:val="100"/>
          <w:sz w:val="22"/>
        </w:rPr>
        <w:t>s</w:t>
      </w:r>
      <w:r>
        <w:rPr>
          <w:i/>
          <w:color w:val="221F1F"/>
          <w:spacing w:val="-2"/>
          <w:w w:val="100"/>
          <w:sz w:val="22"/>
        </w:rPr>
        <w:t>h</w:t>
      </w:r>
      <w:r>
        <w:rPr>
          <w:i/>
          <w:color w:val="221F1F"/>
          <w:w w:val="100"/>
          <w:sz w:val="22"/>
        </w:rPr>
        <w:t>ing</w:t>
      </w:r>
      <w:r>
        <w:rPr>
          <w:i/>
          <w:color w:val="221F1F"/>
          <w:sz w:val="22"/>
        </w:rPr>
        <w:t> </w:t>
      </w:r>
      <w:r>
        <w:rPr>
          <w:i/>
          <w:color w:val="221F1F"/>
          <w:spacing w:val="-2"/>
          <w:w w:val="100"/>
          <w:sz w:val="22"/>
        </w:rPr>
        <w:t>r</w:t>
      </w:r>
      <w:r>
        <w:rPr>
          <w:i/>
          <w:color w:val="221F1F"/>
          <w:w w:val="100"/>
          <w:sz w:val="22"/>
        </w:rPr>
        <w:t>es</w:t>
      </w:r>
      <w:r>
        <w:rPr>
          <w:i/>
          <w:color w:val="221F1F"/>
          <w:spacing w:val="-3"/>
          <w:w w:val="100"/>
          <w:sz w:val="22"/>
        </w:rPr>
        <w:t>p</w:t>
      </w:r>
      <w:r>
        <w:rPr>
          <w:i/>
          <w:color w:val="221F1F"/>
          <w:spacing w:val="-2"/>
          <w:w w:val="100"/>
          <w:sz w:val="22"/>
        </w:rPr>
        <w:t>e</w:t>
      </w:r>
      <w:r>
        <w:rPr>
          <w:i/>
          <w:color w:val="221F1F"/>
          <w:w w:val="100"/>
          <w:sz w:val="22"/>
        </w:rPr>
        <w:t>c</w:t>
      </w:r>
      <w:r>
        <w:rPr>
          <w:i/>
          <w:color w:val="221F1F"/>
          <w:spacing w:val="1"/>
          <w:w w:val="100"/>
          <w:sz w:val="22"/>
        </w:rPr>
        <w:t>t</w:t>
      </w:r>
      <w:r>
        <w:rPr>
          <w:i/>
          <w:color w:val="221F1F"/>
          <w:spacing w:val="-2"/>
          <w:w w:val="100"/>
          <w:sz w:val="22"/>
        </w:rPr>
        <w:t>i</w:t>
      </w:r>
      <w:r>
        <w:rPr>
          <w:i/>
          <w:color w:val="221F1F"/>
          <w:w w:val="100"/>
          <w:sz w:val="22"/>
        </w:rPr>
        <w:t>ve</w:t>
      </w:r>
      <w:r>
        <w:rPr>
          <w:i/>
          <w:color w:val="221F1F"/>
          <w:sz w:val="22"/>
        </w:rPr>
        <w:t> </w:t>
      </w:r>
      <w:r>
        <w:rPr>
          <w:i/>
          <w:color w:val="221F1F"/>
          <w:w w:val="100"/>
          <w:sz w:val="22"/>
        </w:rPr>
        <w:t>a</w:t>
      </w:r>
      <w:r>
        <w:rPr>
          <w:i/>
          <w:color w:val="221F1F"/>
          <w:spacing w:val="-3"/>
          <w:w w:val="100"/>
          <w:sz w:val="22"/>
        </w:rPr>
        <w:t>b</w:t>
      </w:r>
      <w:r>
        <w:rPr>
          <w:i/>
          <w:color w:val="221F1F"/>
          <w:w w:val="100"/>
          <w:sz w:val="22"/>
        </w:rPr>
        <w:t>s</w:t>
      </w:r>
      <w:r>
        <w:rPr>
          <w:i/>
          <w:color w:val="221F1F"/>
          <w:spacing w:val="-1"/>
          <w:w w:val="100"/>
          <w:sz w:val="22"/>
        </w:rPr>
        <w:t>t</w:t>
      </w:r>
      <w:r>
        <w:rPr>
          <w:i/>
          <w:color w:val="221F1F"/>
          <w:w w:val="100"/>
          <w:sz w:val="22"/>
        </w:rPr>
        <w:t>ra</w:t>
      </w:r>
      <w:r>
        <w:rPr>
          <w:i/>
          <w:color w:val="221F1F"/>
          <w:spacing w:val="-2"/>
          <w:w w:val="100"/>
          <w:sz w:val="22"/>
        </w:rPr>
        <w:t>c</w:t>
      </w:r>
      <w:r>
        <w:rPr>
          <w:i/>
          <w:color w:val="221F1F"/>
          <w:w w:val="100"/>
          <w:sz w:val="22"/>
        </w:rPr>
        <w:t>t</w:t>
      </w:r>
      <w:r>
        <w:rPr>
          <w:i/>
          <w:color w:val="221F1F"/>
          <w:w w:val="100"/>
          <w:sz w:val="22"/>
        </w:rPr>
        <w:t> </w:t>
      </w:r>
      <w:r>
        <w:rPr>
          <w:i/>
          <w:color w:val="221F1F"/>
          <w:sz w:val="22"/>
        </w:rPr>
        <w:t>in supporting journal website.</w:t>
      </w:r>
    </w:p>
    <w:sectPr>
      <w:type w:val="continuous"/>
      <w:pgSz w:w="12240" w:h="15840"/>
      <w:pgMar w:top="2060" w:bottom="500" w:left="520" w:right="4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rebuchet MS">
    <w:altName w:val="Trebuchet MS"/>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0pt;margin-top:762.450012pt;width:612pt;height:29.55pt;mso-position-horizontal-relative:page;mso-position-vertical-relative:page;z-index:-15835648" filled="true" fillcolor="#6c1038" stroked="false">
          <v:fill type="solid"/>
          <w10:wrap type="none"/>
        </v:rect>
      </w:pict>
    </w:r>
    <w:r>
      <w:rPr/>
      <w:pict>
        <v:shape style="position:absolute;margin-left:311.589996pt;margin-top:784.081604pt;width:10.5pt;height:11pt;mso-position-horizontal-relative:page;mso-position-vertical-relative:page;z-index:-15835136" type="#_x0000_t202" filled="false" stroked="false">
          <v:textbox inset="0,0,0,0">
            <w:txbxContent>
              <w:p>
                <w:pPr>
                  <w:spacing w:before="15"/>
                  <w:ind w:left="60" w:right="0" w:firstLine="0"/>
                  <w:jc w:val="left"/>
                  <w:rPr>
                    <w:rFonts w:ascii="Arial"/>
                    <w:sz w:val="16"/>
                  </w:rPr>
                </w:pPr>
                <w:r>
                  <w:rPr/>
                  <w:fldChar w:fldCharType="begin"/>
                </w:r>
                <w:r>
                  <w:rPr>
                    <w:rFonts w:ascii="Arial"/>
                    <w:color w:val="6C1037"/>
                    <w:w w:val="100"/>
                    <w:sz w:val="16"/>
                  </w:rPr>
                  <w:instrText> PAGE </w:instrText>
                </w:r>
                <w:r>
                  <w:rPr/>
                  <w:fldChar w:fldCharType="separate"/>
                </w:r>
                <w:r>
                  <w:rPr/>
                  <w:t>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0pt;margin-top:0pt;width:612pt;height:103pt;mso-position-horizontal-relative:page;mso-position-vertical-relative:page;z-index:-15836672" coordorigin="0,0" coordsize="12240,2060">
          <v:rect style="position:absolute;left:0;top:0;width:12240;height:2060" filled="true" fillcolor="#6c1038" stroked="false">
            <v:fill type="solid"/>
          </v:rect>
          <v:shape style="position:absolute;left:7134;top:1044;width:4360;height:182" type="#_x0000_t75" stroked="false">
            <v:imagedata r:id="rId1" o:title=""/>
          </v:shape>
          <w10:wrap type="none"/>
        </v:group>
      </w:pict>
    </w:r>
    <w:r>
      <w:rPr/>
      <w:pict>
        <v:shapetype id="_x0000_t202" o:spt="202" coordsize="21600,21600" path="m,l,21600r21600,l21600,xe">
          <v:stroke joinstyle="miter"/>
          <v:path gradientshapeok="t" o:connecttype="rect"/>
        </v:shapetype>
        <v:shape style="position:absolute;margin-left:42.919998pt;margin-top:29.87545pt;width:192pt;height:62.1pt;mso-position-horizontal-relative:page;mso-position-vertical-relative:page;z-index:-15836160" type="#_x0000_t202" filled="false" stroked="false">
          <v:textbox inset="0,0,0,0">
            <w:txbxContent>
              <w:p>
                <w:pPr>
                  <w:pStyle w:val="BodyText"/>
                  <w:spacing w:before="49"/>
                  <w:ind w:left="20"/>
                </w:pPr>
                <w:r>
                  <w:rPr>
                    <w:color w:val="FFFFFF"/>
                  </w:rPr>
                  <w:t>14</w:t>
                </w:r>
                <w:r>
                  <w:rPr>
                    <w:color w:val="FFFFFF"/>
                    <w:vertAlign w:val="superscript"/>
                  </w:rPr>
                  <w:t>th</w:t>
                </w:r>
                <w:r>
                  <w:rPr>
                    <w:color w:val="FFFFFF"/>
                    <w:vertAlign w:val="baseline"/>
                  </w:rPr>
                  <w:t> World Congress and Expo on</w:t>
                </w:r>
              </w:p>
              <w:p>
                <w:pPr>
                  <w:spacing w:before="24"/>
                  <w:ind w:left="20" w:right="0" w:firstLine="0"/>
                  <w:jc w:val="left"/>
                  <w:rPr>
                    <w:b/>
                    <w:sz w:val="40"/>
                  </w:rPr>
                </w:pPr>
                <w:r>
                  <w:rPr>
                    <w:b/>
                    <w:color w:val="FFFFFF"/>
                    <w:sz w:val="40"/>
                  </w:rPr>
                  <w:t>Recycling</w:t>
                </w:r>
              </w:p>
              <w:p>
                <w:pPr>
                  <w:pStyle w:val="BodyText"/>
                  <w:spacing w:before="136"/>
                  <w:ind w:left="20"/>
                </w:pPr>
                <w:r>
                  <w:rPr>
                    <w:color w:val="FFFFFF"/>
                  </w:rPr>
                  <w:t>October 19-20, 2022 | Barcelona, Spain</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30" w:hanging="466"/>
        <w:jc w:val="right"/>
      </w:pPr>
      <w:rPr>
        <w:rFonts w:hint="default" w:ascii="Times New Roman" w:hAnsi="Times New Roman" w:eastAsia="Times New Roman" w:cs="Times New Roman"/>
        <w:color w:val="221F1F"/>
        <w:spacing w:val="-1"/>
        <w:w w:val="92"/>
        <w:sz w:val="24"/>
        <w:szCs w:val="24"/>
        <w:lang w:val="en-US" w:eastAsia="en-US" w:bidi="ar-SA"/>
      </w:rPr>
    </w:lvl>
    <w:lvl w:ilvl="1">
      <w:start w:val="0"/>
      <w:numFmt w:val="bullet"/>
      <w:lvlText w:val="•"/>
      <w:lvlJc w:val="left"/>
      <w:pPr>
        <w:ind w:left="860" w:hanging="466"/>
      </w:pPr>
      <w:rPr>
        <w:rFonts w:hint="default"/>
        <w:lang w:val="en-US" w:eastAsia="en-US" w:bidi="ar-SA"/>
      </w:rPr>
    </w:lvl>
    <w:lvl w:ilvl="2">
      <w:start w:val="0"/>
      <w:numFmt w:val="bullet"/>
      <w:lvlText w:val="•"/>
      <w:lvlJc w:val="left"/>
      <w:pPr>
        <w:ind w:left="1181" w:hanging="466"/>
      </w:pPr>
      <w:rPr>
        <w:rFonts w:hint="default"/>
        <w:lang w:val="en-US" w:eastAsia="en-US" w:bidi="ar-SA"/>
      </w:rPr>
    </w:lvl>
    <w:lvl w:ilvl="3">
      <w:start w:val="0"/>
      <w:numFmt w:val="bullet"/>
      <w:lvlText w:val="•"/>
      <w:lvlJc w:val="left"/>
      <w:pPr>
        <w:ind w:left="1502" w:hanging="466"/>
      </w:pPr>
      <w:rPr>
        <w:rFonts w:hint="default"/>
        <w:lang w:val="en-US" w:eastAsia="en-US" w:bidi="ar-SA"/>
      </w:rPr>
    </w:lvl>
    <w:lvl w:ilvl="4">
      <w:start w:val="0"/>
      <w:numFmt w:val="bullet"/>
      <w:lvlText w:val="•"/>
      <w:lvlJc w:val="left"/>
      <w:pPr>
        <w:ind w:left="1823" w:hanging="466"/>
      </w:pPr>
      <w:rPr>
        <w:rFonts w:hint="default"/>
        <w:lang w:val="en-US" w:eastAsia="en-US" w:bidi="ar-SA"/>
      </w:rPr>
    </w:lvl>
    <w:lvl w:ilvl="5">
      <w:start w:val="0"/>
      <w:numFmt w:val="bullet"/>
      <w:lvlText w:val="•"/>
      <w:lvlJc w:val="left"/>
      <w:pPr>
        <w:ind w:left="2144" w:hanging="466"/>
      </w:pPr>
      <w:rPr>
        <w:rFonts w:hint="default"/>
        <w:lang w:val="en-US" w:eastAsia="en-US" w:bidi="ar-SA"/>
      </w:rPr>
    </w:lvl>
    <w:lvl w:ilvl="6">
      <w:start w:val="0"/>
      <w:numFmt w:val="bullet"/>
      <w:lvlText w:val="•"/>
      <w:lvlJc w:val="left"/>
      <w:pPr>
        <w:ind w:left="2465" w:hanging="466"/>
      </w:pPr>
      <w:rPr>
        <w:rFonts w:hint="default"/>
        <w:lang w:val="en-US" w:eastAsia="en-US" w:bidi="ar-SA"/>
      </w:rPr>
    </w:lvl>
    <w:lvl w:ilvl="7">
      <w:start w:val="0"/>
      <w:numFmt w:val="bullet"/>
      <w:lvlText w:val="•"/>
      <w:lvlJc w:val="left"/>
      <w:pPr>
        <w:ind w:left="2786" w:hanging="466"/>
      </w:pPr>
      <w:rPr>
        <w:rFonts w:hint="default"/>
        <w:lang w:val="en-US" w:eastAsia="en-US" w:bidi="ar-SA"/>
      </w:rPr>
    </w:lvl>
    <w:lvl w:ilvl="8">
      <w:start w:val="0"/>
      <w:numFmt w:val="bullet"/>
      <w:lvlText w:val="•"/>
      <w:lvlJc w:val="left"/>
      <w:pPr>
        <w:ind w:left="3106" w:hanging="466"/>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200"/>
      <w:outlineLvl w:val="1"/>
    </w:pPr>
    <w:rPr>
      <w:rFonts w:ascii="Trebuchet MS" w:hAnsi="Trebuchet MS" w:eastAsia="Trebuchet MS" w:cs="Trebuchet MS"/>
      <w:b/>
      <w:bCs/>
      <w:sz w:val="24"/>
      <w:szCs w:val="24"/>
      <w:lang w:val="en-US" w:eastAsia="en-US" w:bidi="ar-SA"/>
    </w:rPr>
  </w:style>
  <w:style w:styleId="Title" w:type="paragraph">
    <w:name w:val="Title"/>
    <w:basedOn w:val="Normal"/>
    <w:uiPriority w:val="1"/>
    <w:qFormat/>
    <w:pPr>
      <w:spacing w:before="24"/>
      <w:ind w:left="20"/>
    </w:pPr>
    <w:rPr>
      <w:rFonts w:ascii="Times New Roman" w:hAnsi="Times New Roman" w:eastAsia="Times New Roman" w:cs="Times New Roman"/>
      <w:b/>
      <w:bCs/>
      <w:sz w:val="40"/>
      <w:szCs w:val="40"/>
      <w:lang w:val="en-US" w:eastAsia="en-US" w:bidi="ar-SA"/>
    </w:rPr>
  </w:style>
  <w:style w:styleId="ListParagraph" w:type="paragraph">
    <w:name w:val="List Paragraph"/>
    <w:basedOn w:val="Normal"/>
    <w:uiPriority w:val="1"/>
    <w:qFormat/>
    <w:pPr>
      <w:spacing w:before="2"/>
      <w:ind w:left="530" w:right="170" w:hanging="42"/>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jpeg"/><Relationship Id="rId10" Type="http://schemas.openxmlformats.org/officeDocument/2006/relationships/image" Target="media/image5.png"/><Relationship Id="rId11" Type="http://schemas.openxmlformats.org/officeDocument/2006/relationships/hyperlink" Target="https://www.cambridge.org/core/journals/journal-of-the-international-neuropsychological-society/article/abs/attentiondeficithyperactivity-disorder-a-historical-neuropsychological-perspective/A1F3FEB79C677B92712B47AB9EDD8805" TargetMode="External"/><Relationship Id="rId12" Type="http://schemas.openxmlformats.org/officeDocument/2006/relationships/hyperlink" Target="https://www.sciencedirect.com/science/article/abs/pii/S0005796704001366?via%3Dihub" TargetMode="External"/><Relationship Id="rId13" Type="http://schemas.openxmlformats.org/officeDocument/2006/relationships/hyperlink" Target="https://www.tandfonline.com/doi/abs/10.3109/02699052.2014.887145?journalCode=ibij20" TargetMode="External"/><Relationship Id="rId14" Type="http://schemas.openxmlformats.org/officeDocument/2006/relationships/hyperlink" Target="https://journals.sagepub.com/doi/10.1177/108705470000400302" TargetMode="External"/><Relationship Id="rId15" Type="http://schemas.openxmlformats.org/officeDocument/2006/relationships/hyperlink" Target="mailto:elizabeth.ekman@gmail.com" TargetMode="External"/><Relationship Id="rId16" Type="http://schemas.openxmlformats.org/officeDocument/2006/relationships/image" Target="media/image6.jpeg"/><Relationship Id="rId17" Type="http://schemas.openxmlformats.org/officeDocument/2006/relationships/hyperlink" Target="https://www.frontiersin.org/articles/10.3389/fpubh.2014.00046/full" TargetMode="External"/><Relationship Id="rId18" Type="http://schemas.openxmlformats.org/officeDocument/2006/relationships/hyperlink" Target="https://link.springer.com/article/10.1007%2Fs12640-011-9260-0" TargetMode="External"/><Relationship Id="rId19" Type="http://schemas.openxmlformats.org/officeDocument/2006/relationships/hyperlink" Target="https://journals.lww.com/cjsportsmed/Abstract/2016/03000/Multiple_Self_Reported_Concussions_Are_More.5.aspx" TargetMode="External"/><Relationship Id="rId20" Type="http://schemas.openxmlformats.org/officeDocument/2006/relationships/hyperlink" Target="https://www.nature.com/articles/npp2009120" TargetMode="External"/><Relationship Id="rId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Appala Naidu</dc:creator>
  <dcterms:created xsi:type="dcterms:W3CDTF">2022-07-05T06:20:19Z</dcterms:created>
  <dcterms:modified xsi:type="dcterms:W3CDTF">2022-07-05T06:20:19Z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2022-01-29T00:00:00Z</vt:filetime>
  </property>
  <property fmtid="{D5CDD505-2E9C-101B-9397-08002B2CF9AE}" pid="3" name="Creator">
    <vt:lpwstr>Microsoft® Word 2010</vt:lpwstr>
  </property>
  <property fmtid="{D5CDD505-2E9C-101B-9397-08002B2CF9AE}" pid="4" name="LastSaved">
    <vt:filetime>2022-07-05T00:00:00Z</vt:filetime>
  </property>
</Properties>
</file>