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000000" w:rsidRDefault="001C4B10">
      <w:pPr>
        <w:spacing w:line="0" w:lineRule="atLeast"/>
        <w:rPr>
          <w:rFonts w:ascii="Times New Roman" w:eastAsia="Times New Roman" w:hAnsi="Times New Roman"/>
          <w:color w:val="333333"/>
          <w:sz w:val="26"/>
        </w:rPr>
      </w:pPr>
      <w:bookmarkStart w:id="0" w:name="page1"/>
      <w:bookmarkEnd w:id="0"/>
      <w:r>
        <w:rPr>
          <w:noProof/>
        </w:rPr>
        <mc:AlternateContent>
          <mc:Choice Requires="wps">
            <w:drawing>
              <wp:anchor distT="0" distB="0" distL="114300" distR="114300" simplePos="0" relativeHeight="251657216" behindDoc="1" locked="0" layoutInCell="1" allowOverlap="1">
                <wp:simplePos x="0" y="0"/>
                <wp:positionH relativeFrom="page">
                  <wp:posOffset>593090</wp:posOffset>
                </wp:positionH>
                <wp:positionV relativeFrom="page">
                  <wp:posOffset>450215</wp:posOffset>
                </wp:positionV>
                <wp:extent cx="6775450" cy="300990"/>
                <wp:effectExtent l="2540" t="2540" r="3810" b="127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75450" cy="300990"/>
                        </a:xfrm>
                        <a:prstGeom prst="rect">
                          <a:avLst/>
                        </a:prstGeom>
                        <a:solidFill>
                          <a:srgbClr val="4472C4"/>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46.7pt;margin-top:35.45pt;width:533.5pt;height:23.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" fillcolor="#4472c4" strokecolor="white">
                <w10:wrap anchorx="page" anchory="page"/>
              </v:rect>
            </w:pict>
          </mc:Fallback>
        </mc:AlternateContent>
      </w:r>
      <w:r w:rsidR="007D218F">
        <w:rPr>
          <w:rFonts w:ascii="Times New Roman" w:eastAsia="Times New Roman" w:hAnsi="Times New Roman"/>
          <w:color w:val="333333"/>
          <w:sz w:val="26"/>
        </w:rPr>
        <w:t>Global summit on Agriculture &amp; Organic farming, August 25-26, 2022 Melbourne, Australia</w:t>
      </w:r>
    </w:p>
    <w:p w:rsidR="00000000" w:rsidRDefault="007D218F">
      <w:pPr>
        <w:spacing w:line="0" w:lineRule="atLeast"/>
        <w:rPr>
          <w:rFonts w:ascii="Times New Roman" w:eastAsia="Times New Roman" w:hAnsi="Times New Roman"/>
          <w:color w:val="333333"/>
          <w:sz w:val="26"/>
        </w:rPr>
        <w:sectPr w:rsidR="00000000">
          <w:pgSz w:w="12240" w:h="15840"/>
          <w:pgMar w:top="803" w:right="940" w:bottom="775" w:left="1240" w:header="0" w:footer="0" w:gutter="0"/>
          <w:cols w:space="0" w:equalWidth="0">
            <w:col w:w="10060"/>
          </w:cols>
          <w:docGrid w:linePitch="360"/>
        </w:sectPr>
      </w:pPr>
    </w:p>
    <w:p w:rsidR="00000000" w:rsidRDefault="007D218F">
      <w:pPr>
        <w:spacing w:line="200" w:lineRule="exact"/>
        <w:rPr>
          <w:rFonts w:ascii="Times New Roman" w:eastAsia="Times New Roman" w:hAnsi="Times New Roman"/>
          <w:sz w:val="24"/>
        </w:rPr>
      </w:pPr>
    </w:p>
    <w:p w:rsidR="00000000" w:rsidRDefault="007D218F">
      <w:pPr>
        <w:spacing w:line="228" w:lineRule="exact"/>
        <w:rPr>
          <w:rFonts w:ascii="Times New Roman" w:eastAsia="Times New Roman" w:hAnsi="Times New Roman"/>
          <w:sz w:val="24"/>
        </w:rPr>
      </w:pPr>
    </w:p>
    <w:p w:rsidR="00000000" w:rsidRDefault="007D218F">
      <w:pPr>
        <w:spacing w:line="316" w:lineRule="auto"/>
        <w:ind w:left="200" w:right="500"/>
        <w:rPr>
          <w:b/>
          <w:sz w:val="32"/>
        </w:rPr>
      </w:pPr>
      <w:r>
        <w:rPr>
          <w:b/>
          <w:sz w:val="32"/>
        </w:rPr>
        <w:t>Significance of agroecological practices in enhancing soil health and yields for a sustainable tea production in Northern Vietnam.</w:t>
      </w:r>
    </w:p>
    <w:p w:rsidR="00000000" w:rsidRDefault="007D218F">
      <w:pPr>
        <w:spacing w:line="200" w:lineRule="exact"/>
        <w:rPr>
          <w:rFonts w:ascii="Times New Roman" w:eastAsia="Times New Roman" w:hAnsi="Times New Roman"/>
          <w:sz w:val="24"/>
        </w:rPr>
      </w:pPr>
    </w:p>
    <w:p w:rsidR="00000000" w:rsidRDefault="007D218F">
      <w:pPr>
        <w:spacing w:line="246" w:lineRule="exact"/>
        <w:rPr>
          <w:rFonts w:ascii="Times New Roman" w:eastAsia="Times New Roman" w:hAnsi="Times New Roman"/>
          <w:sz w:val="24"/>
        </w:rPr>
      </w:pPr>
    </w:p>
    <w:p w:rsidR="00000000" w:rsidRDefault="007D218F">
      <w:pPr>
        <w:spacing w:line="205" w:lineRule="auto"/>
        <w:ind w:left="200" w:right="820"/>
        <w:rPr>
          <w:sz w:val="27"/>
          <w:vertAlign w:val="superscript"/>
        </w:rPr>
      </w:pPr>
      <w:bookmarkStart w:id="1" w:name="_GoBack"/>
      <w:r>
        <w:rPr>
          <w:b/>
          <w:sz w:val="22"/>
          <w:u w:val="single"/>
        </w:rPr>
        <w:t>Viet San Le</w:t>
      </w:r>
      <w:r>
        <w:rPr>
          <w:sz w:val="27"/>
        </w:rPr>
        <w:t xml:space="preserve"> </w:t>
      </w:r>
      <w:bookmarkEnd w:id="1"/>
      <w:r>
        <w:rPr>
          <w:sz w:val="27"/>
          <w:vertAlign w:val="superscript"/>
        </w:rPr>
        <w:t>1,2,5</w:t>
      </w:r>
      <w:r>
        <w:rPr>
          <w:sz w:val="22"/>
        </w:rPr>
        <w:t>, Laetitia Her</w:t>
      </w:r>
      <w:r>
        <w:rPr>
          <w:sz w:val="22"/>
        </w:rPr>
        <w:t>rmann</w:t>
      </w:r>
      <w:r>
        <w:rPr>
          <w:sz w:val="27"/>
          <w:vertAlign w:val="superscript"/>
        </w:rPr>
        <w:t>1,5</w:t>
      </w:r>
      <w:r>
        <w:rPr>
          <w:sz w:val="22"/>
        </w:rPr>
        <w:t>, Lee Hudek</w:t>
      </w:r>
      <w:r>
        <w:rPr>
          <w:sz w:val="27"/>
          <w:vertAlign w:val="superscript"/>
        </w:rPr>
        <w:t>1</w:t>
      </w:r>
      <w:r>
        <w:rPr>
          <w:sz w:val="22"/>
        </w:rPr>
        <w:t>, Thi Binh Nguyen</w:t>
      </w:r>
      <w:r>
        <w:rPr>
          <w:sz w:val="27"/>
          <w:vertAlign w:val="superscript"/>
        </w:rPr>
        <w:t>2</w:t>
      </w:r>
      <w:r>
        <w:rPr>
          <w:sz w:val="22"/>
        </w:rPr>
        <w:t>, Van Huy Nguyen</w:t>
      </w:r>
      <w:r>
        <w:rPr>
          <w:sz w:val="27"/>
          <w:vertAlign w:val="superscript"/>
        </w:rPr>
        <w:t>6</w:t>
      </w:r>
      <w:r>
        <w:rPr>
          <w:sz w:val="22"/>
        </w:rPr>
        <w:t>, Lambert Bräu</w:t>
      </w:r>
      <w:r>
        <w:rPr>
          <w:sz w:val="27"/>
          <w:vertAlign w:val="superscript"/>
        </w:rPr>
        <w:t>1</w:t>
      </w:r>
      <w:r>
        <w:rPr>
          <w:sz w:val="22"/>
        </w:rPr>
        <w:t xml:space="preserve"> and Didier Lesueur</w:t>
      </w:r>
      <w:r>
        <w:rPr>
          <w:sz w:val="27"/>
          <w:vertAlign w:val="superscript"/>
        </w:rPr>
        <w:t>1,3,4,5</w:t>
      </w:r>
    </w:p>
    <w:p w:rsidR="00000000" w:rsidRDefault="007D218F">
      <w:pPr>
        <w:spacing w:line="186" w:lineRule="exact"/>
        <w:rPr>
          <w:rFonts w:ascii="Times New Roman" w:eastAsia="Times New Roman" w:hAnsi="Times New Roman"/>
          <w:sz w:val="24"/>
        </w:rPr>
      </w:pPr>
    </w:p>
    <w:p w:rsidR="00000000" w:rsidRDefault="007D218F">
      <w:pPr>
        <w:numPr>
          <w:ilvl w:val="0"/>
          <w:numId w:val="1"/>
        </w:numPr>
        <w:tabs>
          <w:tab w:val="left" w:pos="310"/>
        </w:tabs>
        <w:spacing w:line="243" w:lineRule="auto"/>
        <w:ind w:left="200" w:right="1220"/>
        <w:rPr>
          <w:sz w:val="26"/>
          <w:vertAlign w:val="superscript"/>
        </w:rPr>
      </w:pPr>
      <w:r>
        <w:t>School of Life and Environmental Sciences, Faculty of Science, Engineering and Built Environment</w:t>
      </w:r>
      <w:r>
        <w:t>–</w:t>
      </w:r>
      <w:r>
        <w:t>Deakin University, Melbourne, VIC 3125, Australia</w:t>
      </w:r>
    </w:p>
    <w:p w:rsidR="00000000" w:rsidRDefault="007D218F">
      <w:pPr>
        <w:spacing w:line="43" w:lineRule="exact"/>
        <w:rPr>
          <w:sz w:val="26"/>
          <w:vertAlign w:val="superscript"/>
        </w:rPr>
      </w:pPr>
    </w:p>
    <w:p w:rsidR="00000000" w:rsidRDefault="007D218F">
      <w:pPr>
        <w:numPr>
          <w:ilvl w:val="0"/>
          <w:numId w:val="1"/>
        </w:numPr>
        <w:tabs>
          <w:tab w:val="left" w:pos="300"/>
        </w:tabs>
        <w:spacing w:line="0" w:lineRule="atLeast"/>
        <w:ind w:left="300" w:hanging="100"/>
        <w:rPr>
          <w:sz w:val="26"/>
          <w:vertAlign w:val="superscript"/>
        </w:rPr>
      </w:pPr>
      <w:r>
        <w:t>The Northe</w:t>
      </w:r>
      <w:r>
        <w:t>rn Mountainous Agriculture and Forestry Science Institute (NOMAFSI), Phu Tho, Vietnam</w:t>
      </w:r>
    </w:p>
    <w:p w:rsidR="00000000" w:rsidRDefault="007D218F">
      <w:pPr>
        <w:spacing w:line="169" w:lineRule="exact"/>
        <w:rPr>
          <w:sz w:val="26"/>
          <w:vertAlign w:val="superscript"/>
        </w:rPr>
      </w:pPr>
    </w:p>
    <w:p w:rsidR="00000000" w:rsidRDefault="007D218F">
      <w:pPr>
        <w:numPr>
          <w:ilvl w:val="0"/>
          <w:numId w:val="1"/>
        </w:numPr>
        <w:tabs>
          <w:tab w:val="left" w:pos="310"/>
        </w:tabs>
        <w:spacing w:line="243" w:lineRule="auto"/>
        <w:ind w:left="200" w:right="660"/>
        <w:rPr>
          <w:sz w:val="26"/>
          <w:vertAlign w:val="superscript"/>
        </w:rPr>
      </w:pPr>
      <w:r>
        <w:t>Centre de Coopération Internationale en Recherche Agronomique pour le Développent (CIRAD), UMR Eco&amp;Sols, Hanoi, Vietnam</w:t>
      </w:r>
    </w:p>
    <w:p w:rsidR="00000000" w:rsidRDefault="007D218F">
      <w:pPr>
        <w:spacing w:line="164" w:lineRule="exact"/>
        <w:rPr>
          <w:sz w:val="26"/>
          <w:vertAlign w:val="superscript"/>
        </w:rPr>
      </w:pPr>
    </w:p>
    <w:p w:rsidR="00000000" w:rsidRDefault="007D218F">
      <w:pPr>
        <w:numPr>
          <w:ilvl w:val="0"/>
          <w:numId w:val="1"/>
        </w:numPr>
        <w:tabs>
          <w:tab w:val="left" w:pos="310"/>
        </w:tabs>
        <w:spacing w:line="243" w:lineRule="auto"/>
        <w:ind w:left="200" w:right="1060"/>
        <w:rPr>
          <w:sz w:val="26"/>
          <w:vertAlign w:val="superscript"/>
        </w:rPr>
      </w:pPr>
      <w:r>
        <w:t>Eco&amp;Sols, University of Montpellier (UMR), CIRAD</w:t>
      </w:r>
      <w:r>
        <w:t>, Institut National de la Recherche Agronomique (INRAE), Institut de Recherche pour le Développent (IRD), Montpellier SupAgro,34060 Montpellier, France</w:t>
      </w:r>
    </w:p>
    <w:p w:rsidR="00000000" w:rsidRDefault="007D218F">
      <w:pPr>
        <w:spacing w:line="163" w:lineRule="exact"/>
        <w:rPr>
          <w:sz w:val="26"/>
          <w:vertAlign w:val="superscript"/>
        </w:rPr>
      </w:pPr>
    </w:p>
    <w:p w:rsidR="00000000" w:rsidRDefault="007D218F">
      <w:pPr>
        <w:numPr>
          <w:ilvl w:val="0"/>
          <w:numId w:val="1"/>
        </w:numPr>
        <w:tabs>
          <w:tab w:val="left" w:pos="332"/>
        </w:tabs>
        <w:spacing w:line="243" w:lineRule="auto"/>
        <w:ind w:left="200" w:right="520"/>
        <w:rPr>
          <w:sz w:val="26"/>
          <w:vertAlign w:val="superscript"/>
        </w:rPr>
      </w:pPr>
      <w:r>
        <w:t>Alliance of Bioversity International and International Center for Tropical Agriculture (CIAT), Asia hub</w:t>
      </w:r>
      <w:r>
        <w:t>, Common Microbial Biotechnology Platform (CMBP), Hanoi, Vietnam</w:t>
      </w:r>
    </w:p>
    <w:p w:rsidR="00000000" w:rsidRDefault="007D218F">
      <w:pPr>
        <w:spacing w:line="226" w:lineRule="exact"/>
        <w:rPr>
          <w:rFonts w:ascii="Times New Roman" w:eastAsia="Times New Roman" w:hAnsi="Times New Roman"/>
          <w:sz w:val="24"/>
        </w:rPr>
      </w:pPr>
    </w:p>
    <w:p w:rsidR="00000000" w:rsidRDefault="007D218F">
      <w:pPr>
        <w:spacing w:line="0" w:lineRule="atLeast"/>
        <w:ind w:left="200"/>
        <w:rPr>
          <w:sz w:val="19"/>
        </w:rPr>
      </w:pPr>
      <w:r>
        <w:rPr>
          <w:sz w:val="26"/>
          <w:vertAlign w:val="superscript"/>
        </w:rPr>
        <w:t>6</w:t>
      </w:r>
      <w:r>
        <w:rPr>
          <w:sz w:val="19"/>
        </w:rPr>
        <w:t>Hung Vuong University, Phu Tho, Vietnam</w:t>
      </w:r>
    </w:p>
    <w:p w:rsidR="00000000" w:rsidRDefault="007D218F">
      <w:pPr>
        <w:spacing w:line="200" w:lineRule="exact"/>
        <w:rPr>
          <w:rFonts w:ascii="Times New Roman" w:eastAsia="Times New Roman" w:hAnsi="Times New Roman"/>
          <w:sz w:val="24"/>
        </w:rPr>
      </w:pPr>
    </w:p>
    <w:p w:rsidR="00000000" w:rsidRDefault="007D218F">
      <w:pPr>
        <w:spacing w:line="325" w:lineRule="exact"/>
        <w:rPr>
          <w:rFonts w:ascii="Times New Roman" w:eastAsia="Times New Roman" w:hAnsi="Times New Roman"/>
          <w:sz w:val="24"/>
        </w:rPr>
      </w:pPr>
    </w:p>
    <w:p w:rsidR="00000000" w:rsidRDefault="007D218F">
      <w:pPr>
        <w:spacing w:line="373" w:lineRule="auto"/>
        <w:ind w:left="200" w:right="500"/>
        <w:jc w:val="both"/>
        <w:rPr>
          <w:sz w:val="23"/>
        </w:rPr>
      </w:pPr>
      <w:r>
        <w:rPr>
          <w:sz w:val="23"/>
        </w:rPr>
        <w:t>Intensive tea cultivation has caused serious soil health degradation globally, including severe soil acidification, metal toxicity, nutrient leachi</w:t>
      </w:r>
      <w:r>
        <w:rPr>
          <w:sz w:val="23"/>
        </w:rPr>
        <w:t>ng and imbalance. Conducted in 20 different tea plantations from 2019-2021, this reasearch project examined the impacts of agroecological tea management (mainly with mulch and organic fertilizer application) practices on soil health indicators, tea yield a</w:t>
      </w:r>
      <w:r>
        <w:rPr>
          <w:sz w:val="23"/>
        </w:rPr>
        <w:t>nd quality, and net income of tea farmers in Northern Vietnam. Our findings indicated that agroecological practices enhanced soil physico-chemical properties by significantly increasing soil OM content and reducing soil acidity. Soil biological properties,</w:t>
      </w:r>
      <w:r>
        <w:rPr>
          <w:sz w:val="23"/>
        </w:rPr>
        <w:t xml:space="preserve"> including arbuscular mycorrhizal fungi (AMF) colonization, soil macro and mesofauna abundance, richness and diversity were also significantly higher in agroecological tea soil and root samples than in samples collected in conventional tea plots. Additiona</w:t>
      </w:r>
      <w:r>
        <w:rPr>
          <w:sz w:val="23"/>
        </w:rPr>
        <w:t>lly, highest root mycorrhizal intensity was only 38%, suggesting that other options such as applications of bioinoculants containing effective AMF (Arbuscular Mycorrhizal Fungi) should be introduced to improve tea root mycorrhization, and subsequently soil</w:t>
      </w:r>
      <w:r>
        <w:rPr>
          <w:sz w:val="23"/>
        </w:rPr>
        <w:t xml:space="preserve"> health and plant growth. Despite lower tea yield and yield components, agroecological tea adopters earned around USD 9.200 ha/ year more than the non-adopters. This was mainly attributed to the greater selling price of fresh tea leaves and subsidies from </w:t>
      </w:r>
      <w:r>
        <w:rPr>
          <w:sz w:val="23"/>
        </w:rPr>
        <w:t>multiple</w:t>
      </w:r>
    </w:p>
    <w:p w:rsidR="00000000" w:rsidRDefault="007D218F">
      <w:pPr>
        <w:spacing w:line="373" w:lineRule="auto"/>
        <w:ind w:left="200" w:right="500"/>
        <w:jc w:val="both"/>
        <w:rPr>
          <w:sz w:val="23"/>
        </w:rPr>
        <w:sectPr w:rsidR="00000000">
          <w:type w:val="continuous"/>
          <w:pgSz w:w="12240" w:h="15840"/>
          <w:pgMar w:top="803" w:right="940" w:bottom="775" w:left="1240" w:header="0" w:footer="0" w:gutter="0"/>
          <w:cols w:space="0" w:equalWidth="0">
            <w:col w:w="10060"/>
          </w:cols>
          <w:docGrid w:linePitch="360"/>
        </w:sectPr>
      </w:pPr>
    </w:p>
    <w:p w:rsidR="00000000" w:rsidRDefault="001C4B10">
      <w:pPr>
        <w:spacing w:line="0" w:lineRule="atLeast"/>
        <w:rPr>
          <w:rFonts w:ascii="Times New Roman" w:eastAsia="Times New Roman" w:hAnsi="Times New Roman"/>
          <w:color w:val="333333"/>
          <w:sz w:val="26"/>
        </w:rPr>
      </w:pPr>
      <w:bookmarkStart w:id="2" w:name="page2"/>
      <w:bookmarkEnd w:id="2"/>
      <w:r>
        <w:rPr>
          <w:noProof/>
          <w:sz w:val="23"/>
        </w:rPr>
        <w:lastRenderedPageBreak/>
        <mc:AlternateContent>
          <mc:Choice Requires="wps">
            <w:drawing>
              <wp:anchor distT="0" distB="0" distL="114300" distR="114300" simplePos="0" relativeHeight="251658240" behindDoc="1" locked="0" layoutInCell="1" allowOverlap="1">
                <wp:simplePos x="0" y="0"/>
                <wp:positionH relativeFrom="page">
                  <wp:posOffset>593090</wp:posOffset>
                </wp:positionH>
                <wp:positionV relativeFrom="page">
                  <wp:posOffset>450215</wp:posOffset>
                </wp:positionV>
                <wp:extent cx="6775450" cy="300990"/>
                <wp:effectExtent l="2540" t="2540" r="3810" b="127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75450" cy="300990"/>
                        </a:xfrm>
                        <a:prstGeom prst="rect">
                          <a:avLst/>
                        </a:prstGeom>
                        <a:solidFill>
                          <a:srgbClr val="4472C4"/>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margin-left:46.7pt;margin-top:35.45pt;width:533.5pt;height:23.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" fillcolor="#4472c4" strokecolor="white">
                <w10:wrap anchorx="page" anchory="page"/>
              </v:rect>
            </w:pict>
          </mc:Fallback>
        </mc:AlternateContent>
      </w:r>
      <w:r w:rsidR="007D218F">
        <w:rPr>
          <w:rFonts w:ascii="Times New Roman" w:eastAsia="Times New Roman" w:hAnsi="Times New Roman"/>
          <w:color w:val="333333"/>
          <w:sz w:val="26"/>
        </w:rPr>
        <w:t>Global summit on Agriculture &amp; Organic farming, August 25-26, 2022 Melbourne, Australia</w:t>
      </w:r>
    </w:p>
    <w:p w:rsidR="00000000" w:rsidRDefault="007D218F">
      <w:pPr>
        <w:spacing w:line="0" w:lineRule="atLeast"/>
        <w:rPr>
          <w:rFonts w:ascii="Times New Roman" w:eastAsia="Times New Roman" w:hAnsi="Times New Roman"/>
          <w:color w:val="333333"/>
          <w:sz w:val="26"/>
        </w:rPr>
        <w:sectPr w:rsidR="00000000">
          <w:pgSz w:w="12240" w:h="15840"/>
          <w:pgMar w:top="803" w:right="940" w:bottom="1440" w:left="1240" w:header="0" w:footer="0" w:gutter="0"/>
          <w:cols w:space="0" w:equalWidth="0">
            <w:col w:w="10060"/>
          </w:cols>
          <w:docGrid w:linePitch="360"/>
        </w:sectPr>
      </w:pPr>
    </w:p>
    <w:p w:rsidR="00000000" w:rsidRDefault="007D218F">
      <w:pPr>
        <w:spacing w:line="200" w:lineRule="exact"/>
        <w:rPr>
          <w:rFonts w:ascii="Times New Roman" w:eastAsia="Times New Roman" w:hAnsi="Times New Roman"/>
        </w:rPr>
      </w:pPr>
    </w:p>
    <w:p w:rsidR="00000000" w:rsidRDefault="007D218F">
      <w:pPr>
        <w:spacing w:line="210" w:lineRule="exact"/>
        <w:rPr>
          <w:rFonts w:ascii="Times New Roman" w:eastAsia="Times New Roman" w:hAnsi="Times New Roman"/>
        </w:rPr>
      </w:pPr>
    </w:p>
    <w:p w:rsidR="00000000" w:rsidRDefault="007D218F">
      <w:pPr>
        <w:spacing w:line="355" w:lineRule="auto"/>
        <w:ind w:left="200" w:right="500"/>
        <w:jc w:val="both"/>
        <w:rPr>
          <w:sz w:val="24"/>
        </w:rPr>
      </w:pPr>
      <w:r>
        <w:rPr>
          <w:sz w:val="24"/>
        </w:rPr>
        <w:t>agencies for the promotion of agroecological tea farming. To further counter soil acidification and consequently enhance soil health and crop productivity</w:t>
      </w:r>
      <w:r>
        <w:rPr>
          <w:sz w:val="24"/>
        </w:rPr>
        <w:t>, lime was applied at a rate of 1.5 tons/ha in 6 agroecological tea plantations. Nine months after application, liming significantly increased soil pH by 0.6 units on average. Significant increase of soil macrofauna abundance and diversity were also observ</w:t>
      </w:r>
      <w:r>
        <w:rPr>
          <w:sz w:val="24"/>
        </w:rPr>
        <w:t>ed in lime treatments (average of 20 and 9 individuals/m² in lime and control plots, respectively), and these figures were significantly lower compared to other cropping systems. Additional analyses are currently on-going, including soil bacterial and fung</w:t>
      </w:r>
      <w:r>
        <w:rPr>
          <w:sz w:val="24"/>
        </w:rPr>
        <w:t xml:space="preserve">al communities, tea quality indicators and soil nematodes. Our results provide a better understanding of the effects of management practices on soil health and tea productivity and can be used to </w:t>
      </w:r>
      <w:r>
        <w:rPr>
          <w:sz w:val="24"/>
        </w:rPr>
        <w:t>promote sustainable tea management practices, while increasi</w:t>
      </w:r>
      <w:r>
        <w:rPr>
          <w:sz w:val="24"/>
        </w:rPr>
        <w:t>ng farmers</w:t>
      </w:r>
      <w:r>
        <w:rPr>
          <w:sz w:val="24"/>
        </w:rPr>
        <w:t>’</w:t>
      </w:r>
      <w:r>
        <w:rPr>
          <w:sz w:val="24"/>
        </w:rPr>
        <w:t xml:space="preserve"> income.</w:t>
      </w:r>
    </w:p>
    <w:p w:rsidR="00000000" w:rsidRDefault="007D218F">
      <w:pPr>
        <w:spacing w:line="200" w:lineRule="exact"/>
        <w:rPr>
          <w:rFonts w:ascii="Times New Roman" w:eastAsia="Times New Roman" w:hAnsi="Times New Roman"/>
        </w:rPr>
      </w:pPr>
    </w:p>
    <w:p w:rsidR="00000000" w:rsidRDefault="007D218F">
      <w:pPr>
        <w:spacing w:line="300" w:lineRule="exact"/>
        <w:rPr>
          <w:rFonts w:ascii="Times New Roman" w:eastAsia="Times New Roman" w:hAnsi="Times New Roman"/>
        </w:rPr>
      </w:pPr>
    </w:p>
    <w:p w:rsidR="00000000" w:rsidRDefault="007D218F">
      <w:pPr>
        <w:spacing w:line="0" w:lineRule="atLeast"/>
        <w:ind w:left="200"/>
        <w:rPr>
          <w:b/>
        </w:rPr>
      </w:pPr>
      <w:r>
        <w:rPr>
          <w:b/>
        </w:rPr>
        <w:t>Acknowledgments</w:t>
      </w:r>
    </w:p>
    <w:p w:rsidR="00000000" w:rsidRDefault="007D218F">
      <w:pPr>
        <w:spacing w:line="167" w:lineRule="exact"/>
        <w:rPr>
          <w:rFonts w:ascii="Times New Roman" w:eastAsia="Times New Roman" w:hAnsi="Times New Roman"/>
        </w:rPr>
      </w:pPr>
    </w:p>
    <w:p w:rsidR="007D218F" w:rsidRDefault="007D218F">
      <w:pPr>
        <w:spacing w:line="224" w:lineRule="auto"/>
        <w:ind w:left="200" w:right="500"/>
        <w:jc w:val="both"/>
      </w:pPr>
      <w:r>
        <w:t>This work was supported by Deakin University, UMR Eco&amp;Sols, Centre de Coopération Internationale en Recherche Agronomique pour le Développent and Alliance of Bioversity International and International Center for Tropi</w:t>
      </w:r>
      <w:r>
        <w:t>cal Agriculture (CIAT), Asia Hub, Common Microbial Biotechnology Platform (CMBP), Hanoi, Vietnam.</w:t>
      </w:r>
    </w:p>
    <w:sectPr w:rsidR="007D218F">
      <w:type w:val="continuous"/>
      <w:pgSz w:w="12240" w:h="15840"/>
      <w:pgMar w:top="803" w:right="940" w:bottom="1440" w:left="1240" w:header="0" w:footer="0" w:gutter="0"/>
      <w:cols w:space="0" w:equalWidth="0">
        <w:col w:w="10060"/>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327B23C6"/>
    <w:lvl w:ilvl="0">
      <w:start w:val="1"/>
      <w:numFmt w:val="decimal"/>
      <w:lvlText w:val="%1"/>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4B10"/>
    <w:rsid w:val="001C4B10"/>
    <w:rsid w:val="007D21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CellMar>
        <w:top w:w="0" w:type="dxa"/>
        <w:left w:w="0" w:type="dxa"/>
        <w:bottom w:w="0" w:type="dxa"/>
        <w:right w:w="0"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CellMar>
        <w:top w:w="0" w:type="dxa"/>
        <w:left w:w="0" w:type="dxa"/>
        <w:bottom w:w="0" w:type="dxa"/>
        <w:right w:w="0"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587</Words>
  <Characters>3351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Apme Aesthetic Medicine 2018</dc:creator>
  <cp:lastModifiedBy>Apme Aesthetic Medicine 2018</cp:lastModifiedBy>
  <cp:revision>2</cp:revision>
  <dcterms:created xsi:type="dcterms:W3CDTF">2022-07-01T05:12:00Z</dcterms:created>
  <dcterms:modified xsi:type="dcterms:W3CDTF">2022-07-01T05:12:00Z</dcterms:modified>
</cp:coreProperties>
</file>