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20DA7" w14:textId="085547F2" w:rsidR="00875398" w:rsidRDefault="00875398" w:rsidP="00875398">
      <w:pPr>
        <w:pStyle w:val="1"/>
        <w:spacing w:before="170"/>
        <w:ind w:left="-142"/>
        <w:rPr>
          <w:rFonts w:ascii="Arial"/>
          <w:sz w:val="22"/>
          <w:szCs w:val="22"/>
        </w:rPr>
      </w:pPr>
      <w:r w:rsidRPr="00875398">
        <w:rPr>
          <w:rFonts w:ascii="Arial" w:eastAsia="Tw Cen MT" w:hAnsi="Tw Cen MT" w:cs="Tw Cen MT"/>
          <w:bCs w:val="0"/>
          <w:color w:val="365F91" w:themeColor="accent1" w:themeShade="BF"/>
          <w:sz w:val="32"/>
          <w:szCs w:val="32"/>
        </w:rPr>
        <w:t xml:space="preserve">Long-Term Exposure to </w:t>
      </w:r>
      <w:proofErr w:type="spellStart"/>
      <w:r w:rsidRPr="00875398">
        <w:rPr>
          <w:rFonts w:ascii="Arial" w:eastAsia="Tw Cen MT" w:hAnsi="Tw Cen MT" w:cs="Tw Cen MT"/>
          <w:bCs w:val="0"/>
          <w:color w:val="365F91" w:themeColor="accent1" w:themeShade="BF"/>
          <w:sz w:val="32"/>
          <w:szCs w:val="32"/>
        </w:rPr>
        <w:t>Decabromodiphenyl</w:t>
      </w:r>
      <w:proofErr w:type="spellEnd"/>
      <w:r w:rsidRPr="00875398">
        <w:rPr>
          <w:rFonts w:ascii="Arial" w:eastAsia="Tw Cen MT" w:hAnsi="Tw Cen MT" w:cs="Tw Cen MT"/>
          <w:bCs w:val="0"/>
          <w:color w:val="365F91" w:themeColor="accent1" w:themeShade="BF"/>
          <w:sz w:val="32"/>
          <w:szCs w:val="32"/>
        </w:rPr>
        <w:t xml:space="preserve"> Ether Promotes the Proliferation and </w:t>
      </w:r>
      <w:proofErr w:type="spellStart"/>
      <w:r w:rsidRPr="00875398">
        <w:rPr>
          <w:rFonts w:ascii="Arial" w:eastAsia="Tw Cen MT" w:hAnsi="Tw Cen MT" w:cs="Tw Cen MT"/>
          <w:bCs w:val="0"/>
          <w:color w:val="365F91" w:themeColor="accent1" w:themeShade="BF"/>
          <w:sz w:val="32"/>
          <w:szCs w:val="32"/>
        </w:rPr>
        <w:t>Tumourigenesis</w:t>
      </w:r>
      <w:proofErr w:type="spellEnd"/>
      <w:r w:rsidRPr="00875398">
        <w:rPr>
          <w:rFonts w:ascii="Arial" w:eastAsia="Tw Cen MT" w:hAnsi="Tw Cen MT" w:cs="Tw Cen MT"/>
          <w:bCs w:val="0"/>
          <w:color w:val="365F91" w:themeColor="accent1" w:themeShade="BF"/>
          <w:sz w:val="32"/>
          <w:szCs w:val="32"/>
        </w:rPr>
        <w:t xml:space="preserve"> of Papillary Thyroid Carcinoma by Inhibiting </w:t>
      </w:r>
      <w:proofErr w:type="spellStart"/>
      <w:r w:rsidRPr="00875398">
        <w:rPr>
          <w:rFonts w:ascii="Arial" w:eastAsia="Tw Cen MT" w:hAnsi="Tw Cen MT" w:cs="Tw Cen MT"/>
          <w:bCs w:val="0"/>
          <w:color w:val="365F91" w:themeColor="accent1" w:themeShade="BF"/>
          <w:sz w:val="32"/>
          <w:szCs w:val="32"/>
        </w:rPr>
        <w:t>TR</w:t>
      </w:r>
      <w:r w:rsidRPr="00875398">
        <w:rPr>
          <w:rFonts w:ascii="Arial" w:eastAsia="Tw Cen MT" w:hAnsi="Tw Cen MT" w:cs="Tw Cen MT"/>
          <w:bCs w:val="0"/>
          <w:color w:val="365F91" w:themeColor="accent1" w:themeShade="BF"/>
          <w:sz w:val="32"/>
          <w:szCs w:val="32"/>
        </w:rPr>
        <w:t>ß</w:t>
      </w:r>
      <w:proofErr w:type="spellEnd"/>
    </w:p>
    <w:p w14:paraId="55A0B971" w14:textId="7D8E6FFB" w:rsidR="00875398" w:rsidRPr="00875398" w:rsidRDefault="00875398" w:rsidP="00875398">
      <w:pPr>
        <w:pStyle w:val="1"/>
        <w:spacing w:before="170"/>
        <w:ind w:left="-142"/>
        <w:rPr>
          <w:rFonts w:ascii="Arial"/>
          <w:sz w:val="22"/>
          <w:szCs w:val="22"/>
        </w:rPr>
      </w:pPr>
      <w:proofErr w:type="spellStart"/>
      <w:r>
        <w:rPr>
          <w:rFonts w:ascii="Arial" w:hint="eastAsia"/>
          <w:sz w:val="22"/>
          <w:szCs w:val="22"/>
        </w:rPr>
        <w:t>X</w:t>
      </w:r>
      <w:r>
        <w:rPr>
          <w:rFonts w:ascii="Arial"/>
          <w:sz w:val="22"/>
          <w:szCs w:val="22"/>
        </w:rPr>
        <w:t>inpei</w:t>
      </w:r>
      <w:proofErr w:type="spellEnd"/>
      <w:r>
        <w:rPr>
          <w:rFonts w:ascii="Arial"/>
          <w:sz w:val="22"/>
          <w:szCs w:val="22"/>
        </w:rPr>
        <w:t xml:space="preserve"> Wang, MD, Shandong University, China</w:t>
      </w:r>
    </w:p>
    <w:p w14:paraId="10D53720" w14:textId="77777777" w:rsidR="00032554" w:rsidRDefault="00032554" w:rsidP="00DD1A36">
      <w:pPr>
        <w:pStyle w:val="a3"/>
        <w:spacing w:before="3"/>
        <w:jc w:val="both"/>
        <w:rPr>
          <w:rFonts w:ascii="Arial"/>
          <w:sz w:val="21"/>
        </w:rPr>
      </w:pPr>
    </w:p>
    <w:p w14:paraId="5EB091ED" w14:textId="77777777" w:rsidR="00032554" w:rsidRDefault="00032554" w:rsidP="00DD1A36">
      <w:pPr>
        <w:jc w:val="both"/>
        <w:rPr>
          <w:rFonts w:ascii="Arial"/>
          <w:sz w:val="21"/>
        </w:rPr>
        <w:sectPr w:rsidR="00032554" w:rsidSect="00257642">
          <w:headerReference w:type="default" r:id="rId7"/>
          <w:footerReference w:type="default" r:id="rId8"/>
          <w:pgSz w:w="11910" w:h="16840"/>
          <w:pgMar w:top="426" w:right="600" w:bottom="840" w:left="851" w:header="541" w:footer="642" w:gutter="0"/>
          <w:cols w:space="720"/>
        </w:sectPr>
      </w:pPr>
    </w:p>
    <w:p w14:paraId="36DB1FFE" w14:textId="212D8BFF" w:rsidR="00032554" w:rsidRPr="003B621A" w:rsidRDefault="00705081" w:rsidP="00DD1A36">
      <w:pPr>
        <w:pStyle w:val="3"/>
        <w:spacing w:before="147"/>
        <w:jc w:val="both"/>
        <w:rPr>
          <w:sz w:val="24"/>
          <w:szCs w:val="24"/>
        </w:rPr>
      </w:pPr>
      <w:r>
        <w:rPr>
          <w:color w:val="BF5A14"/>
          <w:sz w:val="24"/>
          <w:szCs w:val="24"/>
        </w:rPr>
        <w:br/>
      </w:r>
      <w:r w:rsidR="00032554" w:rsidRPr="003B621A">
        <w:rPr>
          <w:color w:val="BF5A14"/>
          <w:sz w:val="24"/>
          <w:szCs w:val="24"/>
        </w:rPr>
        <w:t>Abstract</w:t>
      </w:r>
    </w:p>
    <w:p w14:paraId="3ABE3EB0" w14:textId="5F2D3DD0" w:rsidR="00875398" w:rsidRPr="005D1795" w:rsidRDefault="00875398" w:rsidP="009B0940">
      <w:pPr>
        <w:pStyle w:val="a3"/>
        <w:spacing w:before="90" w:line="360" w:lineRule="auto"/>
        <w:ind w:left="100"/>
        <w:jc w:val="both"/>
        <w:rPr>
          <w:rFonts w:ascii="Arial" w:eastAsia="Minion Pro" w:hAnsi="Minion Pro" w:cs="Minion Pro"/>
          <w:bCs/>
          <w:sz w:val="21"/>
          <w:szCs w:val="21"/>
        </w:rPr>
      </w:pPr>
      <w:r w:rsidRPr="005D1795">
        <w:rPr>
          <w:rFonts w:ascii="Arial" w:eastAsia="Minion Pro" w:hAnsi="Minion Pro" w:cs="Minion Pro"/>
          <w:bCs/>
          <w:sz w:val="21"/>
          <w:szCs w:val="21"/>
        </w:rPr>
        <w:t xml:space="preserve">Polybrominated diphenyl ethers (PBDEs) have been reported to possess endocrine-disrupting and </w:t>
      </w:r>
      <w:proofErr w:type="spellStart"/>
      <w:r w:rsidRPr="005D1795">
        <w:rPr>
          <w:rFonts w:ascii="Arial" w:eastAsia="Minion Pro" w:hAnsi="Minion Pro" w:cs="Minion Pro"/>
          <w:bCs/>
          <w:sz w:val="21"/>
          <w:szCs w:val="21"/>
        </w:rPr>
        <w:t>tumour</w:t>
      </w:r>
      <w:proofErr w:type="spellEnd"/>
      <w:r w:rsidRPr="005D1795">
        <w:rPr>
          <w:rFonts w:ascii="Arial" w:eastAsia="Minion Pro" w:hAnsi="Minion Pro" w:cs="Minion Pro"/>
          <w:bCs/>
          <w:sz w:val="21"/>
          <w:szCs w:val="21"/>
        </w:rPr>
        <w:t xml:space="preserve">-promoting activity. However, the effects of long-term exposure to </w:t>
      </w:r>
      <w:proofErr w:type="spellStart"/>
      <w:r w:rsidRPr="005D1795">
        <w:rPr>
          <w:rFonts w:ascii="Arial" w:eastAsia="Minion Pro" w:hAnsi="Minion Pro" w:cs="Minion Pro"/>
          <w:bCs/>
          <w:sz w:val="21"/>
          <w:szCs w:val="21"/>
        </w:rPr>
        <w:t>decabromodiphenyl</w:t>
      </w:r>
      <w:proofErr w:type="spellEnd"/>
      <w:r w:rsidRPr="005D1795">
        <w:rPr>
          <w:rFonts w:ascii="Arial" w:eastAsia="Minion Pro" w:hAnsi="Minion Pro" w:cs="Minion Pro"/>
          <w:bCs/>
          <w:sz w:val="21"/>
          <w:szCs w:val="21"/>
        </w:rPr>
        <w:t xml:space="preserve"> ether (BDE209) on thyroid </w:t>
      </w:r>
      <w:proofErr w:type="spellStart"/>
      <w:r w:rsidRPr="005D1795">
        <w:rPr>
          <w:rFonts w:ascii="Arial" w:eastAsia="Minion Pro" w:hAnsi="Minion Pro" w:cs="Minion Pro"/>
          <w:bCs/>
          <w:sz w:val="21"/>
          <w:szCs w:val="21"/>
        </w:rPr>
        <w:t>tumourigenesis</w:t>
      </w:r>
      <w:proofErr w:type="spellEnd"/>
      <w:r w:rsidRPr="005D1795">
        <w:rPr>
          <w:rFonts w:ascii="Arial" w:eastAsia="Minion Pro" w:hAnsi="Minion Pro" w:cs="Minion Pro"/>
          <w:bCs/>
          <w:sz w:val="21"/>
          <w:szCs w:val="21"/>
        </w:rPr>
        <w:t xml:space="preserve"> of papillary thyroid carcinoma (PTC) and the underlying mechanisms remain poorly defined. In this study, functional assays in vitro and mouse models in vivo were used to evaluate the toxic effects of long-term exposure to environmental concentrations of BDE209 on the pathogenesis and progression of PTC. MTS, </w:t>
      </w:r>
      <w:proofErr w:type="spellStart"/>
      <w:r w:rsidRPr="005D1795">
        <w:rPr>
          <w:rFonts w:ascii="Arial" w:eastAsia="Minion Pro" w:hAnsi="Minion Pro" w:cs="Minion Pro"/>
          <w:bCs/>
          <w:sz w:val="21"/>
          <w:szCs w:val="21"/>
        </w:rPr>
        <w:t>EdU</w:t>
      </w:r>
      <w:proofErr w:type="spellEnd"/>
      <w:r w:rsidRPr="005D1795">
        <w:rPr>
          <w:rFonts w:ascii="Arial" w:eastAsia="Minion Pro" w:hAnsi="Minion Pro" w:cs="Minion Pro"/>
          <w:bCs/>
          <w:sz w:val="21"/>
          <w:szCs w:val="21"/>
        </w:rPr>
        <w:t xml:space="preserve"> and colony-forming assays confirmed the chronic toxicity of BDE209 on the proliferation of human normal follicular epithelial cell line (</w:t>
      </w:r>
      <w:proofErr w:type="spellStart"/>
      <w:r w:rsidRPr="005D1795">
        <w:rPr>
          <w:rFonts w:ascii="Arial" w:eastAsia="Minion Pro" w:hAnsi="Minion Pro" w:cs="Minion Pro"/>
          <w:bCs/>
          <w:sz w:val="21"/>
          <w:szCs w:val="21"/>
        </w:rPr>
        <w:t>Nthy-ori</w:t>
      </w:r>
      <w:proofErr w:type="spellEnd"/>
      <w:r w:rsidRPr="005D1795">
        <w:rPr>
          <w:rFonts w:ascii="Arial" w:eastAsia="Minion Pro" w:hAnsi="Minion Pro" w:cs="Minion Pro"/>
          <w:bCs/>
          <w:sz w:val="21"/>
          <w:szCs w:val="21"/>
        </w:rPr>
        <w:t xml:space="preserve"> 3-1) and PTC-derived cell lines (TPC-1 and BCPAP). Wound and </w:t>
      </w:r>
      <w:proofErr w:type="spellStart"/>
      <w:r w:rsidRPr="005D1795">
        <w:rPr>
          <w:rFonts w:ascii="Arial" w:eastAsia="Minion Pro" w:hAnsi="Minion Pro" w:cs="Minion Pro"/>
          <w:bCs/>
          <w:sz w:val="21"/>
          <w:szCs w:val="21"/>
        </w:rPr>
        <w:t>Transwell</w:t>
      </w:r>
      <w:proofErr w:type="spellEnd"/>
      <w:r w:rsidRPr="005D1795">
        <w:rPr>
          <w:rFonts w:ascii="Arial" w:eastAsia="Minion Pro" w:hAnsi="Minion Pro" w:cs="Minion Pro"/>
          <w:bCs/>
          <w:sz w:val="21"/>
          <w:szCs w:val="21"/>
        </w:rPr>
        <w:t xml:space="preserve"> assays showed that BDE209 exacerbated the aggressiveness of PTC cells. BDE209 significantly promoted cell proliferation during the S and G2/M phases of the cell cycle. Mechanistically, BDE209 altered the thyroid system by acting as a competitive inhibitor of thyroid receptor beta (</w:t>
      </w:r>
      <w:proofErr w:type="spellStart"/>
      <w:r w:rsidRPr="005D1795">
        <w:rPr>
          <w:rFonts w:ascii="Arial" w:eastAsia="Minion Pro" w:hAnsi="Minion Pro" w:cs="Minion Pro"/>
          <w:bCs/>
          <w:sz w:val="21"/>
          <w:szCs w:val="21"/>
        </w:rPr>
        <w:t>TR</w:t>
      </w:r>
      <w:r w:rsidRPr="005D1795">
        <w:rPr>
          <w:rFonts w:ascii="Arial" w:eastAsia="Minion Pro" w:hAnsi="Minion Pro" w:cs="Minion Pro"/>
          <w:bCs/>
          <w:sz w:val="21"/>
          <w:szCs w:val="21"/>
        </w:rPr>
        <w:t>ß</w:t>
      </w:r>
      <w:proofErr w:type="spellEnd"/>
      <w:r w:rsidRPr="005D1795">
        <w:rPr>
          <w:rFonts w:ascii="Arial" w:eastAsia="Minion Pro" w:hAnsi="Minion Pro" w:cs="Minion Pro"/>
          <w:bCs/>
          <w:sz w:val="21"/>
          <w:szCs w:val="21"/>
        </w:rPr>
        <w:t xml:space="preserve">) expression and function, which was further proven by public databases and RNA-seq bioinformation analysis. Taken together, these results demonstrated that BDE209 has chronic toxicity and potential </w:t>
      </w:r>
      <w:proofErr w:type="spellStart"/>
      <w:r w:rsidRPr="005D1795">
        <w:rPr>
          <w:rFonts w:ascii="Arial" w:eastAsia="Minion Pro" w:hAnsi="Minion Pro" w:cs="Minion Pro"/>
          <w:bCs/>
          <w:sz w:val="21"/>
          <w:szCs w:val="21"/>
        </w:rPr>
        <w:t>tumourigenic</w:t>
      </w:r>
      <w:proofErr w:type="spellEnd"/>
      <w:r w:rsidRPr="005D1795">
        <w:rPr>
          <w:rFonts w:ascii="Arial" w:eastAsia="Minion Pro" w:hAnsi="Minion Pro" w:cs="Minion Pro"/>
          <w:bCs/>
          <w:sz w:val="21"/>
          <w:szCs w:val="21"/>
        </w:rPr>
        <w:t xml:space="preserve"> effects on the thyroid by inhibiting </w:t>
      </w:r>
      <w:proofErr w:type="spellStart"/>
      <w:r w:rsidRPr="005D1795">
        <w:rPr>
          <w:rFonts w:ascii="Arial" w:eastAsia="Minion Pro" w:hAnsi="Minion Pro" w:cs="Minion Pro"/>
          <w:bCs/>
          <w:sz w:val="21"/>
          <w:szCs w:val="21"/>
        </w:rPr>
        <w:t>TR</w:t>
      </w:r>
      <w:r w:rsidRPr="005D1795">
        <w:rPr>
          <w:rFonts w:ascii="Arial" w:eastAsia="Minion Pro" w:hAnsi="Minion Pro" w:cs="Minion Pro"/>
          <w:bCs/>
          <w:sz w:val="21"/>
          <w:szCs w:val="21"/>
        </w:rPr>
        <w:t>ß</w:t>
      </w:r>
      <w:proofErr w:type="spellEnd"/>
      <w:r w:rsidRPr="005D1795">
        <w:rPr>
          <w:rFonts w:ascii="Arial" w:eastAsia="Minion Pro" w:hAnsi="Minion Pro" w:cs="Minion Pro"/>
          <w:bCs/>
          <w:sz w:val="21"/>
          <w:szCs w:val="21"/>
        </w:rPr>
        <w:t>.</w:t>
      </w:r>
    </w:p>
    <w:p w14:paraId="033D8E97" w14:textId="77777777" w:rsidR="00032554" w:rsidRDefault="00032554" w:rsidP="00DD1A36">
      <w:pPr>
        <w:pStyle w:val="3"/>
        <w:spacing w:before="74"/>
        <w:jc w:val="both"/>
        <w:rPr>
          <w:rFonts w:ascii="Calibri" w:hAnsi="Calibri"/>
        </w:rPr>
      </w:pPr>
      <w:r>
        <w:rPr>
          <w:b w:val="0"/>
        </w:rPr>
        <w:br w:type="column"/>
      </w:r>
    </w:p>
    <w:p w14:paraId="6B93FB43" w14:textId="77777777" w:rsidR="00032554" w:rsidRPr="008756E6" w:rsidRDefault="00032554" w:rsidP="00DD1A36">
      <w:pPr>
        <w:tabs>
          <w:tab w:val="left" w:pos="384"/>
        </w:tabs>
        <w:ind w:right="117"/>
        <w:jc w:val="both"/>
      </w:pPr>
    </w:p>
    <w:p w14:paraId="271B3354" w14:textId="77777777"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14:paraId="598CDCFB" w14:textId="77777777" w:rsidR="00032554" w:rsidRDefault="00257642" w:rsidP="00DD1A36">
      <w:pPr>
        <w:pStyle w:val="a3"/>
        <w:jc w:val="both"/>
        <w:rPr>
          <w:rFonts w:ascii="Calibri"/>
          <w:sz w:val="20"/>
        </w:rPr>
      </w:pPr>
      <w:r>
        <w:rPr>
          <w:rFonts w:ascii="Calibri"/>
          <w:sz w:val="20"/>
        </w:rPr>
        <w:br/>
      </w:r>
    </w:p>
    <w:p w14:paraId="0C065D42" w14:textId="77777777" w:rsidR="00DD1A36" w:rsidRPr="00257642" w:rsidRDefault="00032554" w:rsidP="00257642">
      <w:pPr>
        <w:pStyle w:val="a3"/>
        <w:spacing w:line="40" w:lineRule="exact"/>
        <w:ind w:left="2202"/>
        <w:jc w:val="both"/>
        <w:rPr>
          <w:rFonts w:ascii="Calibri"/>
          <w:sz w:val="4"/>
        </w:rPr>
      </w:pPr>
      <w:r>
        <w:rPr>
          <w:rFonts w:ascii="Calibri"/>
          <w:noProof/>
          <w:sz w:val="4"/>
          <w:lang w:val="en-IN" w:eastAsia="en-IN"/>
        </w:rPr>
        <mc:AlternateContent>
          <mc:Choice Requires="wpg">
            <w:drawing>
              <wp:inline distT="0" distB="0" distL="0" distR="0" wp14:anchorId="433DB202" wp14:editId="30E2DD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ED3C2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r>
        <w:rPr>
          <w:noProof/>
        </w:rPr>
        <w:t xml:space="preserve">           </w:t>
      </w:r>
      <w:r w:rsidR="00705081">
        <w:rPr>
          <w:noProof/>
        </w:rPr>
        <w:br/>
      </w:r>
      <w:r w:rsidR="00705081">
        <w:rPr>
          <w:noProof/>
        </w:rPr>
        <w:br/>
      </w:r>
    </w:p>
    <w:p w14:paraId="6B3458CF" w14:textId="2015A054" w:rsidR="00032554" w:rsidRDefault="00032554" w:rsidP="00705081">
      <w:pPr>
        <w:spacing w:before="92"/>
        <w:ind w:right="798"/>
        <w:rPr>
          <w:rFonts w:ascii="Arial"/>
          <w:color w:val="BF5A14"/>
        </w:rPr>
      </w:pPr>
      <w:r>
        <w:rPr>
          <w:noProof/>
        </w:rPr>
        <w:t xml:space="preserve">  </w:t>
      </w:r>
      <w:r w:rsidR="00875398">
        <w:rPr>
          <w:noProof/>
        </w:rPr>
        <w:drawing>
          <wp:inline distT="0" distB="0" distL="0" distR="0" wp14:anchorId="713A12D3" wp14:editId="014D81E6">
            <wp:extent cx="889000" cy="1257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9000" cy="1257300"/>
                    </a:xfrm>
                    <a:prstGeom prst="rect">
                      <a:avLst/>
                    </a:prstGeom>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w:t>
      </w:r>
      <w:r w:rsidR="00705081">
        <w:rPr>
          <w:b/>
          <w:color w:val="E36C0A" w:themeColor="accent6" w:themeShade="BF"/>
          <w:sz w:val="28"/>
          <w:szCs w:val="28"/>
        </w:rPr>
        <w:br/>
      </w:r>
    </w:p>
    <w:p w14:paraId="523FE101" w14:textId="5E7CE80D" w:rsidR="003B621A" w:rsidRPr="005D1795" w:rsidRDefault="00BF02AE" w:rsidP="005D1795">
      <w:pPr>
        <w:spacing w:line="360" w:lineRule="auto"/>
        <w:jc w:val="both"/>
        <w:rPr>
          <w:rFonts w:ascii="Arial" w:eastAsia="Minion Pro" w:hAnsi="Minion Pro" w:cs="Minion Pro"/>
          <w:bCs/>
          <w:sz w:val="21"/>
          <w:szCs w:val="21"/>
        </w:rPr>
      </w:pPr>
      <w:proofErr w:type="spellStart"/>
      <w:r w:rsidRPr="005D1795">
        <w:rPr>
          <w:rFonts w:ascii="Arial" w:eastAsia="Minion Pro" w:hAnsi="Minion Pro" w:cs="Minion Pro"/>
          <w:bCs/>
          <w:sz w:val="21"/>
          <w:szCs w:val="21"/>
        </w:rPr>
        <w:t>Xinpei</w:t>
      </w:r>
      <w:proofErr w:type="spellEnd"/>
      <w:r w:rsidRPr="005D1795">
        <w:rPr>
          <w:rFonts w:ascii="Arial" w:eastAsia="Minion Pro" w:hAnsi="Minion Pro" w:cs="Minion Pro"/>
          <w:bCs/>
          <w:sz w:val="21"/>
          <w:szCs w:val="21"/>
        </w:rPr>
        <w:t xml:space="preserve"> Wang is </w:t>
      </w:r>
      <w:r w:rsidRPr="005D1795">
        <w:rPr>
          <w:rFonts w:ascii="Arial" w:eastAsia="Minion Pro" w:hAnsi="Minion Pro" w:cs="Minion Pro"/>
          <w:bCs/>
          <w:sz w:val="21"/>
          <w:szCs w:val="21"/>
        </w:rPr>
        <w:t>a postgraduate student</w:t>
      </w:r>
      <w:r w:rsidRPr="005D1795">
        <w:rPr>
          <w:rFonts w:ascii="Arial" w:eastAsia="Minion Pro" w:hAnsi="Minion Pro" w:cs="Minion Pro"/>
          <w:bCs/>
          <w:sz w:val="21"/>
          <w:szCs w:val="21"/>
        </w:rPr>
        <w:t xml:space="preserve"> now. </w:t>
      </w:r>
      <w:r w:rsidRPr="005D1795">
        <w:rPr>
          <w:rFonts w:ascii="Arial" w:eastAsia="Minion Pro" w:hAnsi="Minion Pro" w:cs="Minion Pro" w:hint="eastAsia"/>
          <w:bCs/>
          <w:sz w:val="21"/>
          <w:szCs w:val="21"/>
        </w:rPr>
        <w:t>S</w:t>
      </w:r>
      <w:r w:rsidRPr="005D1795">
        <w:rPr>
          <w:rFonts w:ascii="Arial" w:eastAsia="Minion Pro" w:hAnsi="Minion Pro" w:cs="Minion Pro"/>
          <w:bCs/>
          <w:sz w:val="21"/>
          <w:szCs w:val="21"/>
        </w:rPr>
        <w:t xml:space="preserve">he has passion in </w:t>
      </w:r>
      <w:r w:rsidRPr="005D1795">
        <w:rPr>
          <w:rFonts w:ascii="Arial" w:eastAsia="Minion Pro" w:hAnsi="Minion Pro" w:cs="Minion Pro"/>
          <w:bCs/>
          <w:sz w:val="21"/>
          <w:szCs w:val="21"/>
        </w:rPr>
        <w:t>improving the health and wellbeing</w:t>
      </w:r>
      <w:r w:rsidRPr="005D1795">
        <w:rPr>
          <w:rFonts w:ascii="Arial" w:eastAsia="Minion Pro" w:hAnsi="Minion Pro" w:cs="Minion Pro"/>
          <w:bCs/>
          <w:sz w:val="21"/>
          <w:szCs w:val="21"/>
        </w:rPr>
        <w:t xml:space="preserve">. </w:t>
      </w:r>
      <w:r w:rsidRPr="005D1795">
        <w:rPr>
          <w:rFonts w:ascii="Arial" w:eastAsia="Minion Pro" w:hAnsi="Minion Pro" w:cs="Minion Pro"/>
          <w:bCs/>
          <w:sz w:val="21"/>
          <w:szCs w:val="21"/>
        </w:rPr>
        <w:t>Together with her mentor, she worked on the study of the causes of thyroid cancer</w:t>
      </w:r>
      <w:r w:rsidRPr="005D1795">
        <w:rPr>
          <w:rFonts w:ascii="Arial" w:eastAsia="Minion Pro" w:hAnsi="Minion Pro" w:cs="Minion Pro"/>
          <w:bCs/>
          <w:sz w:val="21"/>
          <w:szCs w:val="21"/>
        </w:rPr>
        <w:t xml:space="preserve">. </w:t>
      </w:r>
      <w:r w:rsidR="005D1795" w:rsidRPr="005D1795">
        <w:rPr>
          <w:rFonts w:ascii="Arial" w:eastAsia="Minion Pro" w:hAnsi="Minion Pro" w:cs="Minion Pro"/>
          <w:bCs/>
          <w:sz w:val="21"/>
          <w:szCs w:val="21"/>
        </w:rPr>
        <w:t>Recently the problem of environmental pollution has gradually attracted their attention</w:t>
      </w:r>
      <w:r w:rsidR="005D1795" w:rsidRPr="005D1795">
        <w:rPr>
          <w:rFonts w:ascii="Arial" w:eastAsia="Minion Pro" w:hAnsi="Minion Pro" w:cs="Minion Pro"/>
          <w:bCs/>
          <w:sz w:val="21"/>
          <w:szCs w:val="21"/>
        </w:rPr>
        <w:t>.</w:t>
      </w:r>
    </w:p>
    <w:p w14:paraId="77A7BB1A" w14:textId="77777777" w:rsidR="007B1BCD" w:rsidRDefault="007B1BCD" w:rsidP="003B621A">
      <w:pPr>
        <w:jc w:val="both"/>
        <w:rPr>
          <w:rFonts w:ascii="Arial" w:hAnsi="Arial" w:cs="Arial"/>
        </w:rPr>
      </w:pPr>
    </w:p>
    <w:p w14:paraId="78C1C92E" w14:textId="77777777" w:rsidR="007B1BCD" w:rsidRDefault="007B1BCD" w:rsidP="003B621A">
      <w:pPr>
        <w:jc w:val="both"/>
        <w:rPr>
          <w:b/>
          <w:color w:val="E36C0A" w:themeColor="accent6" w:themeShade="BF"/>
          <w:sz w:val="28"/>
          <w:szCs w:val="28"/>
        </w:rPr>
      </w:pPr>
      <w:r w:rsidRPr="007B1BCD">
        <w:rPr>
          <w:b/>
          <w:color w:val="E36C0A" w:themeColor="accent6" w:themeShade="BF"/>
          <w:sz w:val="28"/>
          <w:szCs w:val="28"/>
        </w:rPr>
        <w:t>Importance of Research:</w:t>
      </w:r>
    </w:p>
    <w:p w14:paraId="4BD6AF8D" w14:textId="77777777" w:rsidR="009B0940" w:rsidRDefault="009B0940" w:rsidP="009B0940">
      <w:pPr>
        <w:widowControl/>
        <w:rPr>
          <w:rFonts w:ascii="Helvetica" w:eastAsia="宋体" w:hAnsi="Helvetica" w:cs="宋体"/>
          <w:sz w:val="21"/>
          <w:szCs w:val="21"/>
          <w:lang w:eastAsia="zh-CN"/>
        </w:rPr>
      </w:pPr>
    </w:p>
    <w:p w14:paraId="3D4FE9EA" w14:textId="1EA23F85" w:rsidR="007B1BCD" w:rsidRPr="005D1795" w:rsidRDefault="009B0940" w:rsidP="005D1795">
      <w:pPr>
        <w:widowControl/>
        <w:spacing w:line="360" w:lineRule="auto"/>
        <w:rPr>
          <w:rFonts w:ascii="Arial" w:eastAsia="宋体" w:hAnsi="Arial" w:cs="Arial"/>
          <w:sz w:val="24"/>
          <w:szCs w:val="24"/>
          <w:lang w:eastAsia="zh-CN"/>
        </w:rPr>
      </w:pPr>
      <w:r w:rsidRPr="009B0940">
        <w:rPr>
          <w:rFonts w:ascii="Arial" w:eastAsia="宋体" w:hAnsi="Arial" w:cs="Arial"/>
          <w:sz w:val="21"/>
          <w:szCs w:val="21"/>
          <w:lang w:eastAsia="zh-CN"/>
        </w:rPr>
        <w:t>In this study, we investigated the effect of BDE209 on the development and progression of thyroid carcinoma, and the potential molecular mechanisms were elucidated. </w:t>
      </w:r>
      <w:r w:rsidRPr="005D1795">
        <w:rPr>
          <w:rFonts w:ascii="Arial" w:eastAsia="宋体" w:hAnsi="Arial" w:cs="Arial"/>
          <w:sz w:val="21"/>
          <w:szCs w:val="21"/>
          <w:lang w:eastAsia="zh-CN"/>
        </w:rPr>
        <w:t xml:space="preserve">Thyroid cancer is one of the </w:t>
      </w:r>
      <w:proofErr w:type="gramStart"/>
      <w:r w:rsidRPr="005D1795">
        <w:rPr>
          <w:rFonts w:ascii="Arial" w:eastAsia="宋体" w:hAnsi="Arial" w:cs="Arial"/>
          <w:sz w:val="21"/>
          <w:szCs w:val="21"/>
          <w:lang w:eastAsia="zh-CN"/>
        </w:rPr>
        <w:t>most commonly diagnosed</w:t>
      </w:r>
      <w:proofErr w:type="gramEnd"/>
      <w:r w:rsidRPr="005D1795">
        <w:rPr>
          <w:rFonts w:ascii="Arial" w:eastAsia="宋体" w:hAnsi="Arial" w:cs="Arial"/>
          <w:sz w:val="21"/>
          <w:szCs w:val="21"/>
          <w:lang w:eastAsia="zh-CN"/>
        </w:rPr>
        <w:t xml:space="preserve"> cancers in women. And thyroid cancer, like breast cancer, is </w:t>
      </w:r>
      <w:r w:rsidRPr="005D1795">
        <w:rPr>
          <w:rFonts w:ascii="Arial" w:eastAsia="宋体" w:hAnsi="Arial" w:cs="Arial"/>
          <w:b/>
          <w:bCs/>
          <w:sz w:val="21"/>
          <w:szCs w:val="21"/>
          <w:lang w:eastAsia="zh-CN"/>
        </w:rPr>
        <w:t>hormone-related</w:t>
      </w:r>
      <w:r w:rsidRPr="005D1795">
        <w:rPr>
          <w:rFonts w:ascii="Arial" w:eastAsia="宋体" w:hAnsi="Arial" w:cs="Arial"/>
          <w:sz w:val="21"/>
          <w:szCs w:val="21"/>
          <w:lang w:eastAsia="zh-CN"/>
        </w:rPr>
        <w:t xml:space="preserve"> cancer. The chemical structure of BDE209 closely resembles that of the thyroid hormones T3 and T4 and hydroxylated metabolites of BDE209 bind with high affinity to thyroid hormone receptors. We therefore wondered whether BDE209 treatment alters the thyroid system through hormone mimicry in </w:t>
      </w:r>
      <w:r w:rsidRPr="005D1795">
        <w:rPr>
          <w:rFonts w:ascii="Arial" w:eastAsia="宋体" w:hAnsi="Arial" w:cs="Arial"/>
          <w:sz w:val="21"/>
          <w:szCs w:val="21"/>
          <w:lang w:eastAsia="zh-CN"/>
        </w:rPr>
        <w:lastRenderedPageBreak/>
        <w:t>human thyroid follicular epithelial cells. Whether breast cancer has the same effect on BDE209 as thyroid cancer is the content of our next experiment.</w:t>
      </w:r>
    </w:p>
    <w:p w14:paraId="516B93A1" w14:textId="77777777" w:rsidR="009B0940" w:rsidRPr="009B0940" w:rsidRDefault="009B0940" w:rsidP="009B0940">
      <w:pPr>
        <w:widowControl/>
        <w:rPr>
          <w:rFonts w:ascii="宋体" w:eastAsia="宋体" w:hAnsi="宋体" w:cs="宋体" w:hint="eastAsia"/>
          <w:sz w:val="24"/>
          <w:szCs w:val="24"/>
          <w:lang w:eastAsia="zh-CN"/>
        </w:rPr>
      </w:pPr>
    </w:p>
    <w:p w14:paraId="3DCD87C1" w14:textId="77777777" w:rsidR="007B1BCD" w:rsidRPr="00900F34" w:rsidRDefault="007B1BCD" w:rsidP="003B621A">
      <w:pPr>
        <w:jc w:val="both"/>
        <w:rPr>
          <w:rFonts w:ascii="Arial" w:hAnsi="Arial" w:cs="Arial"/>
        </w:rPr>
      </w:pPr>
      <w:r>
        <w:rPr>
          <w:b/>
          <w:color w:val="E36C0A" w:themeColor="accent6" w:themeShade="BF"/>
          <w:sz w:val="28"/>
          <w:szCs w:val="28"/>
        </w:rPr>
        <w:t>References: (If any)</w:t>
      </w:r>
    </w:p>
    <w:p w14:paraId="10DDD779" w14:textId="28B007E8" w:rsidR="00032554" w:rsidRDefault="00032554" w:rsidP="00DD1A36">
      <w:pPr>
        <w:pStyle w:val="a3"/>
        <w:spacing w:before="7"/>
        <w:jc w:val="both"/>
        <w:rPr>
          <w:rFonts w:ascii="Arial" w:eastAsia="宋体" w:hAnsi="Arial" w:cs="Arial"/>
          <w:sz w:val="21"/>
          <w:szCs w:val="21"/>
          <w:lang w:eastAsia="zh-CN"/>
        </w:rPr>
      </w:pPr>
    </w:p>
    <w:p w14:paraId="5CFE0BEA" w14:textId="08212734" w:rsidR="00CC2ED7" w:rsidRPr="00CC2ED7" w:rsidRDefault="00CC2ED7" w:rsidP="00CC2ED7">
      <w:pPr>
        <w:pStyle w:val="a3"/>
        <w:numPr>
          <w:ilvl w:val="0"/>
          <w:numId w:val="2"/>
        </w:numPr>
        <w:spacing w:before="7"/>
        <w:jc w:val="both"/>
        <w:rPr>
          <w:rFonts w:ascii="Arial" w:eastAsia="宋体" w:hAnsi="Arial" w:cs="Arial"/>
          <w:sz w:val="21"/>
          <w:szCs w:val="21"/>
          <w:lang w:eastAsia="zh-CN"/>
        </w:rPr>
      </w:pPr>
      <w:r w:rsidRPr="00CC2ED7">
        <w:rPr>
          <w:rFonts w:ascii="Arial" w:eastAsia="宋体" w:hAnsi="Arial" w:cs="Arial"/>
          <w:b/>
          <w:bCs/>
          <w:sz w:val="21"/>
          <w:szCs w:val="21"/>
          <w:lang w:eastAsia="zh-CN"/>
        </w:rPr>
        <w:t>Wang X</w:t>
      </w:r>
      <w:r w:rsidRPr="00CC2ED7">
        <w:rPr>
          <w:rFonts w:ascii="Arial" w:eastAsia="宋体" w:hAnsi="Arial" w:cs="Arial"/>
          <w:sz w:val="21"/>
          <w:szCs w:val="21"/>
          <w:lang w:eastAsia="zh-CN"/>
        </w:rPr>
        <w:t>, Cui X, Zhao Q, Sun F, Zhao R, Feng T et al. Long-Term Exposure to Decabromodiphenyl Ether Promotes the Proliferation and Tumourigenesis of Papillary Thyroid Carcinoma by Inhibiting TRß. Cancers (Basel) 2022; 14.</w:t>
      </w:r>
    </w:p>
    <w:p w14:paraId="22F8CB37" w14:textId="75E04D4F" w:rsidR="00CC2ED7" w:rsidRPr="00CC2ED7" w:rsidRDefault="00CC2ED7" w:rsidP="00CC2ED7">
      <w:pPr>
        <w:pStyle w:val="a3"/>
        <w:numPr>
          <w:ilvl w:val="0"/>
          <w:numId w:val="2"/>
        </w:numPr>
        <w:spacing w:before="7"/>
        <w:jc w:val="both"/>
        <w:rPr>
          <w:rFonts w:ascii="Arial" w:eastAsia="宋体" w:hAnsi="Arial" w:cs="Arial"/>
          <w:sz w:val="21"/>
          <w:szCs w:val="21"/>
          <w:lang w:eastAsia="zh-CN"/>
        </w:rPr>
      </w:pPr>
      <w:r w:rsidRPr="00CC2ED7">
        <w:rPr>
          <w:rFonts w:ascii="Arial" w:eastAsia="宋体" w:hAnsi="Arial" w:cs="Arial"/>
          <w:sz w:val="21"/>
          <w:szCs w:val="21"/>
          <w:lang w:eastAsia="zh-CN"/>
        </w:rPr>
        <w:t xml:space="preserve">Sun F, </w:t>
      </w:r>
      <w:r w:rsidRPr="00CC2ED7">
        <w:rPr>
          <w:rFonts w:ascii="Arial" w:eastAsia="宋体" w:hAnsi="Arial" w:cs="Arial"/>
          <w:b/>
          <w:bCs/>
          <w:sz w:val="21"/>
          <w:szCs w:val="21"/>
          <w:lang w:eastAsia="zh-CN"/>
        </w:rPr>
        <w:t>Wang X</w:t>
      </w:r>
      <w:r w:rsidRPr="00CC2ED7">
        <w:rPr>
          <w:rFonts w:ascii="Arial" w:eastAsia="宋体" w:hAnsi="Arial" w:cs="Arial"/>
          <w:sz w:val="21"/>
          <w:szCs w:val="21"/>
          <w:lang w:eastAsia="zh-CN"/>
        </w:rPr>
        <w:t>, Hu J, Liu J, Wang X, Jia W et al. RUVBL1 promotes enzalutamide resistance of prostate tumors through the PLXNA1-CRAF-MAPK pathway. Oncogene 2022; 41: 3239-3250.</w:t>
      </w:r>
    </w:p>
    <w:p w14:paraId="4E97C850" w14:textId="77777777" w:rsidR="00CC2ED7" w:rsidRPr="00CC2ED7" w:rsidRDefault="00CC2ED7" w:rsidP="00DD1A36">
      <w:pPr>
        <w:pStyle w:val="a3"/>
        <w:spacing w:before="7"/>
        <w:jc w:val="both"/>
        <w:rPr>
          <w:rFonts w:ascii="Arial" w:eastAsia="宋体" w:hAnsi="Arial" w:cs="Arial"/>
          <w:sz w:val="21"/>
          <w:szCs w:val="21"/>
          <w:lang w:eastAsia="zh-CN"/>
        </w:rPr>
      </w:pPr>
    </w:p>
    <w:p w14:paraId="29A00710" w14:textId="7E9B03A5" w:rsidR="00711700" w:rsidRPr="00257642" w:rsidRDefault="00711700" w:rsidP="00D66AE6">
      <w:pPr>
        <w:spacing w:line="360" w:lineRule="auto"/>
        <w:jc w:val="both"/>
        <w:rPr>
          <w:b/>
          <w:color w:val="E36C0A" w:themeColor="accent6" w:themeShade="BF"/>
          <w:sz w:val="24"/>
          <w:szCs w:val="24"/>
        </w:rPr>
      </w:pPr>
      <w:r w:rsidRPr="00257642">
        <w:rPr>
          <w:b/>
          <w:color w:val="E36C0A" w:themeColor="accent6" w:themeShade="BF"/>
          <w:sz w:val="24"/>
          <w:szCs w:val="24"/>
        </w:rPr>
        <w:t>Name:</w:t>
      </w:r>
      <w:r w:rsidR="00CC2ED7">
        <w:rPr>
          <w:b/>
          <w:color w:val="E36C0A" w:themeColor="accent6" w:themeShade="BF"/>
          <w:sz w:val="24"/>
          <w:szCs w:val="24"/>
        </w:rPr>
        <w:t xml:space="preserve"> </w:t>
      </w:r>
      <w:proofErr w:type="spellStart"/>
      <w:r w:rsidR="00CC2ED7" w:rsidRPr="00D66AE6">
        <w:rPr>
          <w:rFonts w:ascii="Arial" w:eastAsia="宋体" w:hAnsi="Arial" w:cs="Arial"/>
          <w:sz w:val="21"/>
          <w:szCs w:val="21"/>
          <w:lang w:eastAsia="zh-CN"/>
        </w:rPr>
        <w:t>Xinpei</w:t>
      </w:r>
      <w:proofErr w:type="spellEnd"/>
      <w:r w:rsidR="00CC2ED7" w:rsidRPr="00D66AE6">
        <w:rPr>
          <w:rFonts w:ascii="Arial" w:eastAsia="宋体" w:hAnsi="Arial" w:cs="Arial"/>
          <w:sz w:val="21"/>
          <w:szCs w:val="21"/>
          <w:lang w:eastAsia="zh-CN"/>
        </w:rPr>
        <w:t xml:space="preserve"> Wang</w:t>
      </w:r>
    </w:p>
    <w:p w14:paraId="7B3BBCF0" w14:textId="54C773FC" w:rsidR="00711700" w:rsidRPr="00D66AE6" w:rsidRDefault="00711700" w:rsidP="00D66AE6">
      <w:pPr>
        <w:widowControl/>
        <w:spacing w:line="360" w:lineRule="auto"/>
        <w:rPr>
          <w:rFonts w:ascii="宋体" w:eastAsia="宋体" w:hAnsi="宋体" w:cs="宋体" w:hint="eastAsia"/>
          <w:sz w:val="24"/>
          <w:szCs w:val="24"/>
          <w:lang w:eastAsia="zh-CN"/>
        </w:rPr>
      </w:pPr>
      <w:r w:rsidRPr="00257642">
        <w:rPr>
          <w:b/>
          <w:color w:val="E36C0A" w:themeColor="accent6" w:themeShade="BF"/>
          <w:sz w:val="24"/>
          <w:szCs w:val="24"/>
        </w:rPr>
        <w:t>Affiliation:</w:t>
      </w:r>
      <w:r w:rsidR="00CC2ED7" w:rsidRPr="00CC2ED7">
        <w:rPr>
          <w:rFonts w:ascii="Segoe UI" w:hAnsi="Segoe UI" w:cs="Segoe UI"/>
          <w:color w:val="212121"/>
          <w:shd w:val="clear" w:color="auto" w:fill="FFFFFF"/>
        </w:rPr>
        <w:t xml:space="preserve"> </w:t>
      </w:r>
      <w:r w:rsidR="00CC2ED7" w:rsidRPr="00D66AE6">
        <w:rPr>
          <w:rFonts w:ascii="Arial" w:eastAsia="宋体" w:hAnsi="Arial" w:cs="Arial"/>
          <w:sz w:val="21"/>
          <w:szCs w:val="21"/>
          <w:lang w:eastAsia="zh-CN"/>
        </w:rPr>
        <w:t>The Key Laboratory of Experimental Teratology, Ministry of Education and Department of Pathology, School of Basic Medical Sciences, Shandong University, Jinan 250012, China.</w:t>
      </w:r>
    </w:p>
    <w:p w14:paraId="3DCC3202" w14:textId="63093603" w:rsidR="00711700" w:rsidRPr="00257642" w:rsidRDefault="00711700" w:rsidP="00D66AE6">
      <w:pPr>
        <w:spacing w:line="360" w:lineRule="auto"/>
        <w:jc w:val="both"/>
        <w:rPr>
          <w:b/>
          <w:color w:val="E36C0A" w:themeColor="accent6" w:themeShade="BF"/>
          <w:sz w:val="24"/>
          <w:szCs w:val="24"/>
        </w:rPr>
      </w:pPr>
      <w:r w:rsidRPr="00257642">
        <w:rPr>
          <w:b/>
          <w:color w:val="E36C0A" w:themeColor="accent6" w:themeShade="BF"/>
          <w:sz w:val="24"/>
          <w:szCs w:val="24"/>
        </w:rPr>
        <w:t>University:</w:t>
      </w:r>
      <w:r w:rsidR="00CC2ED7">
        <w:rPr>
          <w:b/>
          <w:color w:val="E36C0A" w:themeColor="accent6" w:themeShade="BF"/>
          <w:sz w:val="24"/>
          <w:szCs w:val="24"/>
        </w:rPr>
        <w:t xml:space="preserve"> </w:t>
      </w:r>
      <w:r w:rsidR="00CC2ED7" w:rsidRPr="00D66AE6">
        <w:rPr>
          <w:rFonts w:ascii="Arial" w:eastAsia="宋体" w:hAnsi="Arial" w:cs="Arial"/>
          <w:sz w:val="21"/>
          <w:szCs w:val="21"/>
          <w:lang w:eastAsia="zh-CN"/>
        </w:rPr>
        <w:t>Shandong University</w:t>
      </w:r>
    </w:p>
    <w:p w14:paraId="5DA74314" w14:textId="0674115F" w:rsidR="00711700" w:rsidRPr="00257642" w:rsidRDefault="00711700" w:rsidP="00D66AE6">
      <w:pPr>
        <w:spacing w:line="360" w:lineRule="auto"/>
        <w:jc w:val="both"/>
        <w:rPr>
          <w:b/>
          <w:color w:val="E36C0A" w:themeColor="accent6" w:themeShade="BF"/>
          <w:sz w:val="24"/>
          <w:szCs w:val="24"/>
        </w:rPr>
      </w:pPr>
      <w:r w:rsidRPr="00257642">
        <w:rPr>
          <w:b/>
          <w:color w:val="E36C0A" w:themeColor="accent6" w:themeShade="BF"/>
          <w:sz w:val="24"/>
          <w:szCs w:val="24"/>
        </w:rPr>
        <w:t>Country:</w:t>
      </w:r>
      <w:r w:rsidR="00CC2ED7">
        <w:rPr>
          <w:b/>
          <w:color w:val="E36C0A" w:themeColor="accent6" w:themeShade="BF"/>
          <w:sz w:val="24"/>
          <w:szCs w:val="24"/>
        </w:rPr>
        <w:t xml:space="preserve"> </w:t>
      </w:r>
      <w:r w:rsidR="00CC2ED7" w:rsidRPr="00D66AE6">
        <w:rPr>
          <w:rFonts w:ascii="Arial" w:eastAsia="宋体" w:hAnsi="Arial" w:cs="Arial"/>
          <w:sz w:val="21"/>
          <w:szCs w:val="21"/>
          <w:lang w:eastAsia="zh-CN"/>
        </w:rPr>
        <w:t>China</w:t>
      </w:r>
    </w:p>
    <w:p w14:paraId="74C533A0" w14:textId="673A35F8" w:rsidR="00711700" w:rsidRPr="00257642" w:rsidRDefault="00711700" w:rsidP="00D66AE6">
      <w:pPr>
        <w:spacing w:line="360" w:lineRule="auto"/>
        <w:jc w:val="both"/>
        <w:rPr>
          <w:b/>
          <w:color w:val="E36C0A" w:themeColor="accent6" w:themeShade="BF"/>
          <w:sz w:val="24"/>
          <w:szCs w:val="24"/>
        </w:rPr>
        <w:sectPr w:rsidR="00711700" w:rsidRPr="00257642" w:rsidSect="00257642">
          <w:type w:val="continuous"/>
          <w:pgSz w:w="11910" w:h="16840"/>
          <w:pgMar w:top="1418" w:right="1420" w:bottom="840" w:left="620" w:header="720" w:footer="720" w:gutter="0"/>
          <w:cols w:space="720"/>
        </w:sectPr>
      </w:pPr>
      <w:r w:rsidRPr="00257642">
        <w:rPr>
          <w:b/>
          <w:color w:val="E36C0A" w:themeColor="accent6" w:themeShade="BF"/>
          <w:sz w:val="24"/>
          <w:szCs w:val="24"/>
        </w:rPr>
        <w:t>Email:</w:t>
      </w:r>
      <w:r w:rsidR="00D66AE6">
        <w:rPr>
          <w:b/>
          <w:color w:val="E36C0A" w:themeColor="accent6" w:themeShade="BF"/>
          <w:sz w:val="24"/>
          <w:szCs w:val="24"/>
        </w:rPr>
        <w:tab/>
      </w:r>
      <w:r w:rsidR="00CC2ED7" w:rsidRPr="00D66AE6">
        <w:rPr>
          <w:rFonts w:ascii="Arial" w:eastAsia="宋体" w:hAnsi="Arial" w:cs="Arial"/>
          <w:sz w:val="21"/>
          <w:szCs w:val="21"/>
          <w:lang w:eastAsia="zh-CN"/>
        </w:rPr>
        <w:t>wang-xinpei@mail.sdu.edu.cn</w:t>
      </w:r>
    </w:p>
    <w:p w14:paraId="59F4BD03" w14:textId="3F355651" w:rsidR="00CC2ED7" w:rsidRDefault="003B621A" w:rsidP="00D66AE6">
      <w:pPr>
        <w:spacing w:line="360" w:lineRule="auto"/>
        <w:jc w:val="both"/>
        <w:rPr>
          <w:b/>
          <w:color w:val="E36C0A" w:themeColor="accent6" w:themeShade="BF"/>
          <w:sz w:val="24"/>
          <w:szCs w:val="24"/>
        </w:rPr>
      </w:pPr>
      <w:r w:rsidRPr="00257642">
        <w:rPr>
          <w:b/>
          <w:color w:val="E36C0A" w:themeColor="accent6" w:themeShade="BF"/>
          <w:sz w:val="24"/>
          <w:szCs w:val="24"/>
        </w:rPr>
        <w:t>Tel:</w:t>
      </w:r>
      <w:r w:rsidR="00CC2ED7">
        <w:rPr>
          <w:b/>
          <w:color w:val="E36C0A" w:themeColor="accent6" w:themeShade="BF"/>
          <w:sz w:val="24"/>
          <w:szCs w:val="24"/>
        </w:rPr>
        <w:t xml:space="preserve"> </w:t>
      </w:r>
      <w:r w:rsidR="00CC2ED7" w:rsidRPr="00D66AE6">
        <w:rPr>
          <w:rFonts w:ascii="Arial" w:eastAsia="宋体" w:hAnsi="Arial" w:cs="Arial"/>
          <w:sz w:val="21"/>
          <w:szCs w:val="21"/>
          <w:lang w:eastAsia="zh-CN"/>
        </w:rPr>
        <w:t>+ 86-</w:t>
      </w:r>
      <w:r w:rsidR="00D66AE6">
        <w:rPr>
          <w:rFonts w:ascii="Arial" w:eastAsia="宋体" w:hAnsi="Arial" w:cs="Arial"/>
          <w:sz w:val="21"/>
          <w:szCs w:val="21"/>
          <w:lang w:eastAsia="zh-CN"/>
        </w:rPr>
        <w:t xml:space="preserve"> </w:t>
      </w:r>
      <w:r w:rsidR="00CC2ED7" w:rsidRPr="00D66AE6">
        <w:rPr>
          <w:rFonts w:ascii="Arial" w:eastAsia="宋体" w:hAnsi="Arial" w:cs="Arial"/>
          <w:sz w:val="21"/>
          <w:szCs w:val="21"/>
          <w:lang w:eastAsia="zh-CN"/>
        </w:rPr>
        <w:t>178 5423 9071</w:t>
      </w:r>
    </w:p>
    <w:p w14:paraId="3B6BE3BB" w14:textId="77777777" w:rsidR="00CC2ED7" w:rsidRDefault="00CC2ED7" w:rsidP="00DD1A36">
      <w:pPr>
        <w:jc w:val="both"/>
        <w:rPr>
          <w:b/>
          <w:color w:val="E36C0A" w:themeColor="accent6" w:themeShade="BF"/>
          <w:sz w:val="24"/>
          <w:szCs w:val="24"/>
        </w:rPr>
      </w:pPr>
    </w:p>
    <w:p w14:paraId="4C5A6767" w14:textId="042C16C4" w:rsidR="000066D5" w:rsidRPr="00257642" w:rsidRDefault="00CC2ED7" w:rsidP="00CC2ED7">
      <w:pPr>
        <w:rPr>
          <w:b/>
          <w:color w:val="E36C0A" w:themeColor="accent6" w:themeShade="BF"/>
          <w:sz w:val="24"/>
          <w:szCs w:val="24"/>
        </w:rPr>
      </w:pPr>
      <w:r>
        <w:rPr>
          <w:b/>
          <w:color w:val="E36C0A" w:themeColor="accent6" w:themeShade="BF"/>
          <w:sz w:val="24"/>
          <w:szCs w:val="24"/>
        </w:rPr>
        <w:fldChar w:fldCharType="begin"/>
      </w:r>
      <w:r>
        <w:rPr>
          <w:b/>
          <w:color w:val="E36C0A" w:themeColor="accent6" w:themeShade="BF"/>
          <w:sz w:val="24"/>
          <w:szCs w:val="24"/>
        </w:rPr>
        <w:instrText xml:space="preserve"> ADDIN EN.REFLIST </w:instrText>
      </w:r>
      <w:r>
        <w:rPr>
          <w:b/>
          <w:color w:val="E36C0A" w:themeColor="accent6" w:themeShade="BF"/>
          <w:sz w:val="24"/>
          <w:szCs w:val="24"/>
        </w:rPr>
        <w:fldChar w:fldCharType="separate"/>
      </w:r>
      <w:r>
        <w:rPr>
          <w:b/>
          <w:color w:val="E36C0A" w:themeColor="accent6" w:themeShade="BF"/>
          <w:sz w:val="24"/>
          <w:szCs w:val="24"/>
        </w:rPr>
        <w:fldChar w:fldCharType="end"/>
      </w:r>
    </w:p>
    <w:sectPr w:rsidR="000066D5" w:rsidRPr="0025764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AE8AF" w14:textId="77777777" w:rsidR="00DC60B1" w:rsidRDefault="00DC60B1">
      <w:r>
        <w:separator/>
      </w:r>
    </w:p>
  </w:endnote>
  <w:endnote w:type="continuationSeparator" w:id="0">
    <w:p w14:paraId="069BDF1E" w14:textId="77777777" w:rsidR="00DC60B1" w:rsidRDefault="00DC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EA02" w14:textId="77777777" w:rsidR="00AE3E37" w:rsidRDefault="00032554">
    <w:pPr>
      <w:pStyle w:val="a3"/>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3D7DBD2" wp14:editId="1B18DC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85AF8" w14:textId="77777777"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66DA7F" w14:textId="77777777"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7DBD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66185AF8" w14:textId="77777777"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66DA7F" w14:textId="77777777"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3C6A911" wp14:editId="1750C9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5B32C" w14:textId="77777777"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C76439" w14:textId="77777777"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6A91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2055B32C" w14:textId="77777777"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C76439" w14:textId="77777777"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15E0C11" wp14:editId="6001B2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F719C" w14:textId="77777777"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6647F5" w14:textId="77777777"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E0C1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76F719C" w14:textId="77777777"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6647F5" w14:textId="77777777"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F7E80" w14:textId="77777777" w:rsidR="00DC60B1" w:rsidRDefault="00DC60B1">
      <w:r>
        <w:separator/>
      </w:r>
    </w:p>
  </w:footnote>
  <w:footnote w:type="continuationSeparator" w:id="0">
    <w:p w14:paraId="14EA68BF" w14:textId="77777777" w:rsidR="00DC60B1" w:rsidRDefault="00DC6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DF32" w14:textId="77777777" w:rsidR="00AE3E37" w:rsidRDefault="00032554">
    <w:pPr>
      <w:pStyle w:val="a3"/>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B44A806" wp14:editId="13EEF9A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F9FA3" w14:textId="77777777" w:rsidR="00AE3E37" w:rsidRPr="005B3A56" w:rsidRDefault="00000000">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4A80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C2F9FA3" w14:textId="77777777" w:rsidR="00AE3E37" w:rsidRPr="005B3A56" w:rsidRDefault="00000000">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1EB23F3" wp14:editId="44CEFD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8EC1D" w14:textId="77777777"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86D953" w14:textId="77777777"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B23F3"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AF8EC1D" w14:textId="77777777"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86D953" w14:textId="77777777"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F37EC4"/>
    <w:multiLevelType w:val="hybridMultilevel"/>
    <w:tmpl w:val="D26E7AF8"/>
    <w:lvl w:ilvl="0" w:tplc="4404BC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96391791">
    <w:abstractNumId w:val="0"/>
    <w:lvlOverride w:ilvl="0">
      <w:startOverride w:val="1"/>
    </w:lvlOverride>
    <w:lvlOverride w:ilvl="1"/>
    <w:lvlOverride w:ilvl="2"/>
    <w:lvlOverride w:ilvl="3"/>
    <w:lvlOverride w:ilvl="4"/>
    <w:lvlOverride w:ilvl="5"/>
    <w:lvlOverride w:ilvl="6"/>
    <w:lvlOverride w:ilvl="7"/>
    <w:lvlOverride w:ilvl="8"/>
  </w:num>
  <w:num w:numId="2" w16cid:durableId="75867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ncogene&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5dxtazk2dvzzet9s7ppae3w5rt0pewza5s&quot;&gt;BDE209 review&lt;record-ids&gt;&lt;item&gt;52&lt;/item&gt;&lt;item&gt;53&lt;/item&gt;&lt;/record-ids&gt;&lt;/item&gt;&lt;/Libraries&gt;"/>
  </w:docVars>
  <w:rsids>
    <w:rsidRoot w:val="00032554"/>
    <w:rsid w:val="000066D5"/>
    <w:rsid w:val="00032554"/>
    <w:rsid w:val="0008550C"/>
    <w:rsid w:val="000E05C1"/>
    <w:rsid w:val="00257642"/>
    <w:rsid w:val="003B621A"/>
    <w:rsid w:val="003E0C88"/>
    <w:rsid w:val="00430533"/>
    <w:rsid w:val="004351F7"/>
    <w:rsid w:val="004855FF"/>
    <w:rsid w:val="004917DE"/>
    <w:rsid w:val="004A12F9"/>
    <w:rsid w:val="00501B5C"/>
    <w:rsid w:val="0053586C"/>
    <w:rsid w:val="005D1795"/>
    <w:rsid w:val="00705081"/>
    <w:rsid w:val="00711700"/>
    <w:rsid w:val="00737737"/>
    <w:rsid w:val="007B1BCD"/>
    <w:rsid w:val="00875398"/>
    <w:rsid w:val="00900F34"/>
    <w:rsid w:val="0090222C"/>
    <w:rsid w:val="009B0940"/>
    <w:rsid w:val="00BF02AE"/>
    <w:rsid w:val="00CC2ED7"/>
    <w:rsid w:val="00D66AE6"/>
    <w:rsid w:val="00DB0F77"/>
    <w:rsid w:val="00DC60B1"/>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F71DD"/>
  <w15:docId w15:val="{7F90552B-FF6F-B94A-94DF-7B4A4F60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32554"/>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032554"/>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032554"/>
    <w:rPr>
      <w:rFonts w:ascii="Minion Pro" w:eastAsia="Minion Pro" w:hAnsi="Minion Pro" w:cs="Minion Pro"/>
      <w:b/>
      <w:bCs/>
      <w:sz w:val="36"/>
      <w:szCs w:val="36"/>
      <w:lang w:val="en-US"/>
    </w:rPr>
  </w:style>
  <w:style w:type="character" w:customStyle="1" w:styleId="30">
    <w:name w:val="标题 3 字符"/>
    <w:basedOn w:val="a0"/>
    <w:link w:val="3"/>
    <w:uiPriority w:val="1"/>
    <w:rsid w:val="00032554"/>
    <w:rPr>
      <w:rFonts w:ascii="Arial" w:eastAsia="Arial" w:hAnsi="Arial" w:cs="Arial"/>
      <w:b/>
      <w:bCs/>
      <w:sz w:val="20"/>
      <w:szCs w:val="20"/>
      <w:lang w:val="en-US"/>
    </w:rPr>
  </w:style>
  <w:style w:type="paragraph" w:styleId="a3">
    <w:name w:val="Body Text"/>
    <w:basedOn w:val="a"/>
    <w:link w:val="a4"/>
    <w:uiPriority w:val="1"/>
    <w:qFormat/>
    <w:rsid w:val="00032554"/>
    <w:rPr>
      <w:sz w:val="18"/>
      <w:szCs w:val="18"/>
    </w:rPr>
  </w:style>
  <w:style w:type="character" w:customStyle="1" w:styleId="a4">
    <w:name w:val="正文文本 字符"/>
    <w:basedOn w:val="a0"/>
    <w:link w:val="a3"/>
    <w:uiPriority w:val="1"/>
    <w:rsid w:val="00032554"/>
    <w:rPr>
      <w:rFonts w:ascii="Tw Cen MT" w:eastAsia="Tw Cen MT" w:hAnsi="Tw Cen MT" w:cs="Tw Cen MT"/>
      <w:sz w:val="18"/>
      <w:szCs w:val="18"/>
      <w:lang w:val="en-US"/>
    </w:rPr>
  </w:style>
  <w:style w:type="paragraph" w:styleId="a5">
    <w:name w:val="List Paragraph"/>
    <w:basedOn w:val="a"/>
    <w:uiPriority w:val="1"/>
    <w:qFormat/>
    <w:rsid w:val="00032554"/>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032554"/>
    <w:rPr>
      <w:color w:val="0000FF" w:themeColor="hyperlink"/>
      <w:u w:val="single"/>
    </w:rPr>
  </w:style>
  <w:style w:type="paragraph" w:styleId="a7">
    <w:name w:val="Balloon Text"/>
    <w:basedOn w:val="a"/>
    <w:link w:val="a8"/>
    <w:uiPriority w:val="99"/>
    <w:semiHidden/>
    <w:unhideWhenUsed/>
    <w:rsid w:val="00032554"/>
    <w:rPr>
      <w:rFonts w:ascii="Tahoma" w:hAnsi="Tahoma" w:cs="Tahoma"/>
      <w:sz w:val="16"/>
      <w:szCs w:val="16"/>
    </w:rPr>
  </w:style>
  <w:style w:type="character" w:customStyle="1" w:styleId="a8">
    <w:name w:val="批注框文本 字符"/>
    <w:basedOn w:val="a0"/>
    <w:link w:val="a7"/>
    <w:uiPriority w:val="99"/>
    <w:semiHidden/>
    <w:rsid w:val="00032554"/>
    <w:rPr>
      <w:rFonts w:ascii="Tahoma" w:eastAsia="Tw Cen MT" w:hAnsi="Tahoma" w:cs="Tahoma"/>
      <w:sz w:val="16"/>
      <w:szCs w:val="16"/>
      <w:lang w:val="en-US"/>
    </w:rPr>
  </w:style>
  <w:style w:type="paragraph" w:styleId="a9">
    <w:name w:val="header"/>
    <w:basedOn w:val="a"/>
    <w:link w:val="aa"/>
    <w:uiPriority w:val="99"/>
    <w:unhideWhenUsed/>
    <w:rsid w:val="0053586C"/>
    <w:pPr>
      <w:tabs>
        <w:tab w:val="center" w:pos="4513"/>
        <w:tab w:val="right" w:pos="9026"/>
      </w:tabs>
    </w:pPr>
  </w:style>
  <w:style w:type="character" w:customStyle="1" w:styleId="aa">
    <w:name w:val="页眉 字符"/>
    <w:basedOn w:val="a0"/>
    <w:link w:val="a9"/>
    <w:uiPriority w:val="99"/>
    <w:rsid w:val="0053586C"/>
    <w:rPr>
      <w:rFonts w:ascii="Tw Cen MT" w:eastAsia="Tw Cen MT" w:hAnsi="Tw Cen MT" w:cs="Tw Cen MT"/>
      <w:lang w:val="en-US"/>
    </w:rPr>
  </w:style>
  <w:style w:type="paragraph" w:styleId="ab">
    <w:name w:val="footer"/>
    <w:basedOn w:val="a"/>
    <w:link w:val="ac"/>
    <w:uiPriority w:val="99"/>
    <w:unhideWhenUsed/>
    <w:rsid w:val="0053586C"/>
    <w:pPr>
      <w:tabs>
        <w:tab w:val="center" w:pos="4513"/>
        <w:tab w:val="right" w:pos="9026"/>
      </w:tabs>
    </w:pPr>
  </w:style>
  <w:style w:type="character" w:customStyle="1" w:styleId="ac">
    <w:name w:val="页脚 字符"/>
    <w:basedOn w:val="a0"/>
    <w:link w:val="ab"/>
    <w:uiPriority w:val="99"/>
    <w:rsid w:val="0053586C"/>
    <w:rPr>
      <w:rFonts w:ascii="Tw Cen MT" w:eastAsia="Tw Cen MT" w:hAnsi="Tw Cen MT" w:cs="Tw Cen MT"/>
      <w:lang w:val="en-US"/>
    </w:rPr>
  </w:style>
  <w:style w:type="character" w:styleId="ad">
    <w:name w:val="Strong"/>
    <w:basedOn w:val="a0"/>
    <w:uiPriority w:val="22"/>
    <w:qFormat/>
    <w:rsid w:val="009B0940"/>
    <w:rPr>
      <w:b/>
      <w:bCs/>
    </w:rPr>
  </w:style>
  <w:style w:type="paragraph" w:customStyle="1" w:styleId="EndNoteBibliographyTitle">
    <w:name w:val="EndNote Bibliography Title"/>
    <w:basedOn w:val="a"/>
    <w:link w:val="EndNoteBibliographyTitle0"/>
    <w:rsid w:val="00CC2ED7"/>
    <w:pPr>
      <w:jc w:val="center"/>
    </w:pPr>
  </w:style>
  <w:style w:type="character" w:customStyle="1" w:styleId="EndNoteBibliographyTitle0">
    <w:name w:val="EndNote Bibliography Title 字符"/>
    <w:basedOn w:val="a4"/>
    <w:link w:val="EndNoteBibliographyTitle"/>
    <w:rsid w:val="00CC2ED7"/>
    <w:rPr>
      <w:rFonts w:ascii="Tw Cen MT" w:eastAsia="Tw Cen MT" w:hAnsi="Tw Cen MT" w:cs="Tw Cen MT"/>
      <w:sz w:val="18"/>
      <w:szCs w:val="18"/>
      <w:lang w:val="en-US"/>
    </w:rPr>
  </w:style>
  <w:style w:type="paragraph" w:customStyle="1" w:styleId="EndNoteBibliography">
    <w:name w:val="EndNote Bibliography"/>
    <w:basedOn w:val="a"/>
    <w:link w:val="EndNoteBibliography0"/>
    <w:rsid w:val="00CC2ED7"/>
    <w:pPr>
      <w:jc w:val="both"/>
    </w:pPr>
  </w:style>
  <w:style w:type="character" w:customStyle="1" w:styleId="EndNoteBibliography0">
    <w:name w:val="EndNote Bibliography 字符"/>
    <w:basedOn w:val="a4"/>
    <w:link w:val="EndNoteBibliography"/>
    <w:rsid w:val="00CC2ED7"/>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8187">
      <w:bodyDiv w:val="1"/>
      <w:marLeft w:val="0"/>
      <w:marRight w:val="0"/>
      <w:marTop w:val="0"/>
      <w:marBottom w:val="0"/>
      <w:divBdr>
        <w:top w:val="none" w:sz="0" w:space="0" w:color="auto"/>
        <w:left w:val="none" w:sz="0" w:space="0" w:color="auto"/>
        <w:bottom w:val="none" w:sz="0" w:space="0" w:color="auto"/>
        <w:right w:val="none" w:sz="0" w:space="0" w:color="auto"/>
      </w:divBdr>
    </w:div>
    <w:div w:id="246504922">
      <w:bodyDiv w:val="1"/>
      <w:marLeft w:val="0"/>
      <w:marRight w:val="0"/>
      <w:marTop w:val="0"/>
      <w:marBottom w:val="0"/>
      <w:divBdr>
        <w:top w:val="none" w:sz="0" w:space="0" w:color="auto"/>
        <w:left w:val="none" w:sz="0" w:space="0" w:color="auto"/>
        <w:bottom w:val="none" w:sz="0" w:space="0" w:color="auto"/>
        <w:right w:val="none" w:sz="0" w:space="0" w:color="auto"/>
      </w:divBdr>
    </w:div>
    <w:div w:id="264731041">
      <w:bodyDiv w:val="1"/>
      <w:marLeft w:val="0"/>
      <w:marRight w:val="0"/>
      <w:marTop w:val="0"/>
      <w:marBottom w:val="0"/>
      <w:divBdr>
        <w:top w:val="none" w:sz="0" w:space="0" w:color="auto"/>
        <w:left w:val="none" w:sz="0" w:space="0" w:color="auto"/>
        <w:bottom w:val="none" w:sz="0" w:space="0" w:color="auto"/>
        <w:right w:val="none" w:sz="0" w:space="0" w:color="auto"/>
      </w:divBdr>
    </w:div>
    <w:div w:id="717317604">
      <w:bodyDiv w:val="1"/>
      <w:marLeft w:val="0"/>
      <w:marRight w:val="0"/>
      <w:marTop w:val="0"/>
      <w:marBottom w:val="0"/>
      <w:divBdr>
        <w:top w:val="none" w:sz="0" w:space="0" w:color="auto"/>
        <w:left w:val="none" w:sz="0" w:space="0" w:color="auto"/>
        <w:bottom w:val="none" w:sz="0" w:space="0" w:color="auto"/>
        <w:right w:val="none" w:sz="0" w:space="0" w:color="auto"/>
      </w:divBdr>
    </w:div>
    <w:div w:id="1365328620">
      <w:bodyDiv w:val="1"/>
      <w:marLeft w:val="0"/>
      <w:marRight w:val="0"/>
      <w:marTop w:val="0"/>
      <w:marBottom w:val="0"/>
      <w:divBdr>
        <w:top w:val="none" w:sz="0" w:space="0" w:color="auto"/>
        <w:left w:val="none" w:sz="0" w:space="0" w:color="auto"/>
        <w:bottom w:val="none" w:sz="0" w:space="0" w:color="auto"/>
        <w:right w:val="none" w:sz="0" w:space="0" w:color="auto"/>
      </w:divBdr>
    </w:div>
    <w:div w:id="1429930385">
      <w:bodyDiv w:val="1"/>
      <w:marLeft w:val="0"/>
      <w:marRight w:val="0"/>
      <w:marTop w:val="0"/>
      <w:marBottom w:val="0"/>
      <w:divBdr>
        <w:top w:val="none" w:sz="0" w:space="0" w:color="auto"/>
        <w:left w:val="none" w:sz="0" w:space="0" w:color="auto"/>
        <w:bottom w:val="none" w:sz="0" w:space="0" w:color="auto"/>
        <w:right w:val="none" w:sz="0" w:space="0" w:color="auto"/>
      </w:divBdr>
    </w:div>
    <w:div w:id="1581408111">
      <w:bodyDiv w:val="1"/>
      <w:marLeft w:val="0"/>
      <w:marRight w:val="0"/>
      <w:marTop w:val="0"/>
      <w:marBottom w:val="0"/>
      <w:divBdr>
        <w:top w:val="none" w:sz="0" w:space="0" w:color="auto"/>
        <w:left w:val="none" w:sz="0" w:space="0" w:color="auto"/>
        <w:bottom w:val="none" w:sz="0" w:space="0" w:color="auto"/>
        <w:right w:val="none" w:sz="0" w:space="0" w:color="auto"/>
      </w:divBdr>
    </w:div>
    <w:div w:id="1886673893">
      <w:bodyDiv w:val="1"/>
      <w:marLeft w:val="0"/>
      <w:marRight w:val="0"/>
      <w:marTop w:val="0"/>
      <w:marBottom w:val="0"/>
      <w:divBdr>
        <w:top w:val="none" w:sz="0" w:space="0" w:color="auto"/>
        <w:left w:val="none" w:sz="0" w:space="0" w:color="auto"/>
        <w:bottom w:val="none" w:sz="0" w:space="0" w:color="auto"/>
        <w:right w:val="none" w:sz="0" w:space="0" w:color="auto"/>
      </w:divBdr>
    </w:div>
    <w:div w:id="207469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495</Words>
  <Characters>2828</Characters>
  <Application>Microsoft Office Word</Application>
  <DocSecurity>0</DocSecurity>
  <Lines>23</Lines>
  <Paragraphs>6</Paragraphs>
  <ScaleCrop>false</ScaleCrop>
  <Company>Microsoft</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馨培</cp:lastModifiedBy>
  <cp:revision>24</cp:revision>
  <dcterms:created xsi:type="dcterms:W3CDTF">2017-11-28T07:20:00Z</dcterms:created>
  <dcterms:modified xsi:type="dcterms:W3CDTF">2022-06-25T08:01:00Z</dcterms:modified>
</cp:coreProperties>
</file>