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37AD" w:rsidRPr="004137AD" w:rsidRDefault="004137AD" w:rsidP="004137AD">
      <w:pPr>
        <w:pStyle w:val="Heading1"/>
        <w:spacing w:before="170"/>
        <w:ind w:left="0"/>
        <w:rPr>
          <w:color w:val="337AB7"/>
        </w:rPr>
      </w:pPr>
      <w:bookmarkStart w:id="0" w:name="_GoBack"/>
      <w:r w:rsidRPr="004137AD">
        <w:rPr>
          <w:color w:val="337AB7"/>
        </w:rPr>
        <w:t>Active Post</w:t>
      </w:r>
      <w:r w:rsidR="00596191">
        <w:rPr>
          <w:color w:val="337AB7"/>
        </w:rPr>
        <w:t>-</w:t>
      </w:r>
      <w:r w:rsidRPr="004137AD">
        <w:rPr>
          <w:color w:val="337AB7"/>
        </w:rPr>
        <w:t xml:space="preserve">marketing Drug Surveillance for </w:t>
      </w:r>
      <w:r>
        <w:rPr>
          <w:color w:val="337AB7"/>
        </w:rPr>
        <w:t>Several</w:t>
      </w:r>
      <w:r w:rsidRPr="004137AD">
        <w:rPr>
          <w:color w:val="337AB7"/>
        </w:rPr>
        <w:t xml:space="preserve"> Adverse Events</w:t>
      </w:r>
      <w:r w:rsidR="00596191">
        <w:rPr>
          <w:color w:val="337AB7"/>
        </w:rPr>
        <w:t xml:space="preserve">: </w:t>
      </w:r>
      <w:r w:rsidR="00596191" w:rsidRPr="00596191">
        <w:rPr>
          <w:color w:val="337AB7"/>
        </w:rPr>
        <w:t>Saudi Food &amp; Drug Authority</w:t>
      </w:r>
      <w:r w:rsidR="00596191">
        <w:rPr>
          <w:color w:val="337AB7"/>
        </w:rPr>
        <w:t xml:space="preserve"> Experience</w:t>
      </w:r>
      <w:r>
        <w:rPr>
          <w:color w:val="337AB7"/>
        </w:rPr>
        <w:t xml:space="preserve"> </w:t>
      </w:r>
    </w:p>
    <w:bookmarkEnd w:id="0"/>
    <w:p w:rsidR="005973B9" w:rsidRPr="00F07FF6" w:rsidRDefault="004137AD" w:rsidP="005973B9">
      <w:pPr>
        <w:pStyle w:val="BodyText"/>
        <w:spacing w:before="73" w:line="198" w:lineRule="exact"/>
        <w:ind w:left="100" w:right="5987"/>
        <w:rPr>
          <w:rFonts w:ascii="Arial"/>
          <w:sz w:val="16"/>
          <w:szCs w:val="16"/>
        </w:rPr>
      </w:pPr>
      <w:r w:rsidRPr="00F07FF6">
        <w:rPr>
          <w:rFonts w:ascii="Arial"/>
          <w:sz w:val="16"/>
          <w:szCs w:val="16"/>
        </w:rPr>
        <w:t>Eman Alghamdi,</w:t>
      </w:r>
      <w:r w:rsidR="00F07FF6">
        <w:rPr>
          <w:rFonts w:ascii="Arial"/>
          <w:sz w:val="16"/>
          <w:szCs w:val="16"/>
        </w:rPr>
        <w:t xml:space="preserve"> </w:t>
      </w:r>
      <w:proofErr w:type="spellStart"/>
      <w:proofErr w:type="gramStart"/>
      <w:r w:rsidRPr="00F07FF6">
        <w:rPr>
          <w:rFonts w:ascii="Arial"/>
          <w:sz w:val="16"/>
          <w:szCs w:val="16"/>
        </w:rPr>
        <w:t>MPharm</w:t>
      </w:r>
      <w:proofErr w:type="spellEnd"/>
      <w:r w:rsidRPr="00F07FF6">
        <w:rPr>
          <w:rFonts w:ascii="Arial"/>
          <w:sz w:val="16"/>
          <w:szCs w:val="16"/>
        </w:rPr>
        <w:t>(</w:t>
      </w:r>
      <w:proofErr w:type="gramEnd"/>
      <w:r w:rsidRPr="00F07FF6">
        <w:rPr>
          <w:rFonts w:ascii="Arial"/>
          <w:sz w:val="16"/>
          <w:szCs w:val="16"/>
        </w:rPr>
        <w:t>Hons)</w:t>
      </w:r>
      <w:r w:rsidR="005973B9" w:rsidRPr="00F07FF6">
        <w:rPr>
          <w:rFonts w:ascii="Arial"/>
          <w:sz w:val="16"/>
          <w:szCs w:val="16"/>
        </w:rPr>
        <w:t>,</w:t>
      </w:r>
      <w:r w:rsidRPr="00F07FF6">
        <w:rPr>
          <w:rFonts w:ascii="Arial"/>
          <w:sz w:val="16"/>
          <w:szCs w:val="16"/>
        </w:rPr>
        <w:t>Saudi Food and</w:t>
      </w:r>
      <w:r w:rsidR="00F07FF6" w:rsidRPr="00F07FF6">
        <w:rPr>
          <w:rFonts w:ascii="Arial"/>
          <w:sz w:val="16"/>
          <w:szCs w:val="16"/>
        </w:rPr>
        <w:t xml:space="preserve"> </w:t>
      </w:r>
      <w:r w:rsidRPr="00F07FF6">
        <w:rPr>
          <w:rFonts w:ascii="Arial"/>
          <w:sz w:val="16"/>
          <w:szCs w:val="16"/>
        </w:rPr>
        <w:t>Drug</w:t>
      </w:r>
      <w:r w:rsidR="00F07FF6">
        <w:rPr>
          <w:rFonts w:ascii="Arial"/>
          <w:sz w:val="16"/>
          <w:szCs w:val="16"/>
        </w:rPr>
        <w:t xml:space="preserve"> </w:t>
      </w:r>
      <w:r w:rsidRPr="00F07FF6">
        <w:rPr>
          <w:rFonts w:ascii="Arial"/>
          <w:sz w:val="16"/>
          <w:szCs w:val="16"/>
        </w:rPr>
        <w:t xml:space="preserve">Authority. </w:t>
      </w:r>
    </w:p>
    <w:p w:rsidR="00AE3E37" w:rsidRPr="00F07FF6" w:rsidRDefault="00AE3E37">
      <w:pPr>
        <w:pStyle w:val="BodyText"/>
        <w:rPr>
          <w:rFonts w:ascii="Arial"/>
          <w:sz w:val="16"/>
          <w:szCs w:val="16"/>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21DD6" w:rsidRDefault="00596191" w:rsidP="00F07FF6">
      <w:pPr>
        <w:pStyle w:val="BodyText"/>
        <w:spacing w:before="90" w:line="280" w:lineRule="auto"/>
        <w:ind w:left="100"/>
        <w:jc w:val="both"/>
      </w:pPr>
      <w:r w:rsidRPr="00596191">
        <w:t xml:space="preserve">Post-marketing drug surveillance for adverse drug events (ADEs) has typically relied on </w:t>
      </w:r>
      <w:r>
        <w:t xml:space="preserve">passive </w:t>
      </w:r>
      <w:r w:rsidRPr="00596191">
        <w:t xml:space="preserve">spontaneous reporting. Recently, </w:t>
      </w:r>
      <w:r>
        <w:t xml:space="preserve">SFDA </w:t>
      </w:r>
      <w:r w:rsidRPr="00596191">
        <w:t xml:space="preserve">have turned their attention to more preemptive approaches that use existing data for </w:t>
      </w:r>
      <w:r>
        <w:t xml:space="preserve">active </w:t>
      </w:r>
      <w:r w:rsidRPr="00596191">
        <w:t>surveillance</w:t>
      </w:r>
      <w:r>
        <w:t xml:space="preserve">. </w:t>
      </w:r>
      <w:r w:rsidRPr="00596191">
        <w:t>Thus, A post-marketing surveillance program was implemented to evaluate the safety of Monoclonal Antibodies Diseases Modifying Agents</w:t>
      </w:r>
      <w:r>
        <w:t xml:space="preserve"> (MABs)</w:t>
      </w:r>
      <w:r w:rsidRPr="00596191">
        <w:t xml:space="preserve">. The objective </w:t>
      </w:r>
      <w:r>
        <w:t xml:space="preserve">of this presentation </w:t>
      </w:r>
      <w:r w:rsidRPr="00596191">
        <w:t xml:space="preserve">is to evaluate the safety of (Ocrelizumab, Natalizumab, Rituximab, and Alemtuzumab) in </w:t>
      </w:r>
      <w:r>
        <w:t>multiple sclerosis</w:t>
      </w:r>
      <w:r w:rsidRPr="00596191">
        <w:t xml:space="preserve"> patients.</w:t>
      </w:r>
      <w:r w:rsidR="00F07FF6">
        <w:t xml:space="preserve"> </w:t>
      </w:r>
      <w:r w:rsidR="00A9710C">
        <w:t>Methodolog</w:t>
      </w:r>
      <w:r w:rsidR="008756E6">
        <w:t xml:space="preserve">y &amp; Theoretical Orientation: </w:t>
      </w:r>
      <w:r w:rsidR="00A21DD6" w:rsidRPr="00A21DD6">
        <w:t>A retrospective cohort study using real-world data from a tertiary hospital in Riyadh, Saudi Arabia was performed to detect safety profile of MAB in patients with MS. The Study included treated patients with one of the MABs from January 2015 to December 2021.</w:t>
      </w:r>
      <w:r w:rsidR="00F07FF6">
        <w:t xml:space="preserve"> </w:t>
      </w:r>
      <w:r w:rsidR="00A21DD6" w:rsidRPr="00A21DD6">
        <w:t>The objectives were to identify Adverse Drug Event (ADEs) associated with the use of MABs. The medical dictionary for drug regulatory affairs (MedDRA) was used to classify ADEs according to the System Organ Classification (SOC) and the Preferred Term (PT). ADEs were classified based on the seriousness, and expectedness, according to SFDA guidelines on Good pharmacovigilance Practices. Descriptive analyses were performed, including frequency/percentages for categorical variables and mean or median for continuous variables. All ADEs were crosschecked listing with local summary product characteristics (SPC), United States Food and Drug Administration (FDA) drug label, and European SPC to identify new safety signals using the scheme illustrated in Figure 1.</w:t>
      </w:r>
    </w:p>
    <w:p w:rsidR="00AE3E37" w:rsidRDefault="00A9710C" w:rsidP="00A21DD6">
      <w:pPr>
        <w:pStyle w:val="BodyText"/>
        <w:spacing w:before="90" w:line="280" w:lineRule="auto"/>
        <w:ind w:left="100"/>
        <w:jc w:val="both"/>
      </w:pPr>
      <w:r>
        <w:t xml:space="preserve">Findings: </w:t>
      </w:r>
      <w:r w:rsidR="00A21DD6" w:rsidRPr="00A21DD6">
        <w:t>214 patient’s records met the eligibility criteria, ocrelizumab (144), natalizumab (46), rituximab (19), and alemtuzumab (4).</w:t>
      </w:r>
      <w:r w:rsidR="00A21DD6">
        <w:t xml:space="preserve"> </w:t>
      </w:r>
      <w:r w:rsidR="00A21DD6" w:rsidRPr="00A21DD6">
        <w:t>Their socio-demographic characteristics are summarized in Table 1.</w:t>
      </w:r>
    </w:p>
    <w:p w:rsidR="00A21DD6" w:rsidRPr="00F07FF6" w:rsidRDefault="0094450F" w:rsidP="00F07FF6">
      <w:pPr>
        <w:pStyle w:val="BodyText"/>
        <w:spacing w:before="90" w:line="280" w:lineRule="auto"/>
        <w:ind w:left="100"/>
        <w:jc w:val="both"/>
      </w:pPr>
      <w:r w:rsidRPr="0094450F">
        <w:t xml:space="preserve">A total of 133 ADEs were reported with the use of MABs including 55 serious ADEs. Based on the local and international product information </w:t>
      </w:r>
      <w:r w:rsidRPr="0094450F">
        <w:t>assessment, there were 42 unexpected ADE (potential signals), 79 known and labeled ADEs, and 13 ADEs not labeled in the local product information label but included in the product information label approved by the FDA or European Medicines Agency. Fig 1</w:t>
      </w:r>
    </w:p>
    <w:p w:rsidR="00A21DD6" w:rsidRPr="00596191" w:rsidRDefault="00A21DD6" w:rsidP="00A21DD6">
      <w:pPr>
        <w:pStyle w:val="Heading3"/>
        <w:spacing w:before="74"/>
        <w:rPr>
          <w:rFonts w:ascii="Calibri" w:eastAsia="+mn-ea" w:hAnsi="Calibri" w:cs="+mn-cs"/>
          <w:b w:val="0"/>
          <w:bCs w:val="0"/>
          <w:i/>
          <w:iCs/>
          <w:kern w:val="24"/>
          <w:sz w:val="16"/>
          <w:szCs w:val="16"/>
        </w:rPr>
      </w:pPr>
      <w:r w:rsidRPr="00A21DD6">
        <w:rPr>
          <w:color w:val="BF5A14"/>
        </w:rPr>
        <w:t>Figure</w:t>
      </w:r>
      <w:r w:rsidR="0094450F">
        <w:rPr>
          <w:color w:val="BF5A14"/>
        </w:rPr>
        <w:t xml:space="preserve">: </w:t>
      </w:r>
      <w:r w:rsidR="0094450F" w:rsidRPr="00596191">
        <w:rPr>
          <w:rFonts w:ascii="Calibri" w:eastAsia="+mn-ea" w:hAnsi="Calibri" w:cs="+mn-cs"/>
          <w:b w:val="0"/>
          <w:bCs w:val="0"/>
          <w:i/>
          <w:iCs/>
          <w:kern w:val="24"/>
          <w:sz w:val="16"/>
          <w:szCs w:val="16"/>
        </w:rPr>
        <w:t>Description of adverse drug events associated with the use of monoclonal antibodies in MS patients (total ADE: 133)</w:t>
      </w:r>
    </w:p>
    <w:p w:rsidR="0094450F" w:rsidRPr="0094450F" w:rsidRDefault="00F07FF6" w:rsidP="00F07FF6">
      <w:pPr>
        <w:pStyle w:val="BodyText"/>
        <w:spacing w:before="2"/>
        <w:rPr>
          <w:rFonts w:ascii="Arial"/>
          <w:b/>
          <w:sz w:val="16"/>
        </w:rPr>
      </w:pPr>
      <w:r w:rsidRPr="00F07FF6">
        <w:rPr>
          <w:rFonts w:ascii="Arial"/>
          <w:b/>
          <w:noProof/>
          <w:sz w:val="16"/>
          <w:szCs w:val="22"/>
        </w:rPr>
        <mc:AlternateContent>
          <mc:Choice Requires="wps">
            <w:drawing>
              <wp:anchor distT="0" distB="0" distL="114300" distR="114300" simplePos="0" relativeHeight="251623936" behindDoc="0" locked="0" layoutInCell="1" allowOverlap="1" wp14:anchorId="19FD87A9" wp14:editId="2E4A1F22">
                <wp:simplePos x="0" y="0"/>
                <wp:positionH relativeFrom="column">
                  <wp:posOffset>2526693</wp:posOffset>
                </wp:positionH>
                <wp:positionV relativeFrom="paragraph">
                  <wp:posOffset>1386679</wp:posOffset>
                </wp:positionV>
                <wp:extent cx="1009650" cy="252483"/>
                <wp:effectExtent l="57150" t="38100" r="57150" b="90805"/>
                <wp:wrapNone/>
                <wp:docPr id="28" name="Rectangle: Diagonal Corners Snipped 28"/>
                <wp:cNvGraphicFramePr/>
                <a:graphic xmlns:a="http://schemas.openxmlformats.org/drawingml/2006/main">
                  <a:graphicData uri="http://schemas.microsoft.com/office/word/2010/wordprocessingShape">
                    <wps:wsp>
                      <wps:cNvSpPr/>
                      <wps:spPr>
                        <a:xfrm>
                          <a:off x="0" y="0"/>
                          <a:ext cx="1009650" cy="252483"/>
                        </a:xfrm>
                        <a:prstGeom prst="snip2DiagRect">
                          <a:avLst/>
                        </a:prstGeom>
                        <a:ln/>
                      </wps:spPr>
                      <wps:style>
                        <a:lnRef idx="1">
                          <a:schemeClr val="dk1"/>
                        </a:lnRef>
                        <a:fillRef idx="2">
                          <a:schemeClr val="dk1"/>
                        </a:fillRef>
                        <a:effectRef idx="1">
                          <a:schemeClr val="dk1"/>
                        </a:effectRef>
                        <a:fontRef idx="minor">
                          <a:schemeClr val="dk1"/>
                        </a:fontRef>
                      </wps:style>
                      <wps:txbx>
                        <w:txbxContent>
                          <w:p w:rsidR="00F07FF6" w:rsidRPr="00F07FF6" w:rsidRDefault="00F07FF6" w:rsidP="00F07FF6">
                            <w:pPr>
                              <w:jc w:val="center"/>
                              <w:rPr>
                                <w:sz w:val="16"/>
                                <w:szCs w:val="16"/>
                              </w:rPr>
                            </w:pPr>
                            <w:r w:rsidRPr="00F07FF6">
                              <w:rPr>
                                <w:sz w:val="16"/>
                                <w:szCs w:val="16"/>
                              </w:rPr>
                              <w:t xml:space="preserve">Nil </w:t>
                            </w:r>
                            <w:r w:rsidRPr="00F07FF6">
                              <w:rPr>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D87A9" id="Rectangle: Diagonal Corners Snipped 28" o:spid="_x0000_s1026" style="position:absolute;margin-left:198.95pt;margin-top:109.2pt;width:79.5pt;height:19.9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9650,25248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g1KdwIAAEEFAAAOAAAAZHJzL2Uyb0RvYy54bWysVN9v2yAQfp+0/wHxvjrx0q616lRRqk6T&#10;qq5qOvWZYEjQgGNAYmd//Q7suFU3rdK0F5vjfn/3HZdXndFkL3xQYGs6PZlQIiyHRtlNTb893nw4&#10;pyREZhumwYqaHkSgV/P37y5bV4kStqAb4QkGsaFqXU23MbqqKALfCsPCCThhUSnBGxZR9Jui8azF&#10;6EYX5WRyVrTgG+eBixDw9rpX0nmOL6Xg8auUQUSia4q1xfz1+btO32J+yaqNZ26r+FAG+4cqDFMW&#10;k46hrllkZOfVb6GM4h4CyHjCwRQgpeIi94DdTCevulltmRO5FwQnuBGm8P/C8rv9vSeqqWmJk7LM&#10;4IweEDVmN1pU5FqxDVimyRK8xSmTlVXOiYagNULXulBhhJW794MU8Jhw6KQ36Y8dki7DfRjhFl0k&#10;HC+nk8nF2SlOhaOuPC1n5x9T0OLZ2/kQPwswJB1qGjB5mUpKFWa42f42xN7naJuyapvuUnV9PfkU&#10;D1r0ygchseVUQQ6SySaW2pM9Q5o036dDGdqiZXKRSuvRqfy702Cb3EQm4Oj4RrbROmcEG0dHoyz4&#10;N7L29seu+15T27Fbd8Ns1tAccNge+i0Ijt8oxPWWhXjPPNIeR4GrHL/iR2poawrDiZIt+J9/uk/2&#10;yEbUUtLiGuGQfuyYF5ToLxZ5ejGdzdLeZWF2+qlEwb/UrF9q7M4sAUcwxUfD8XxM9lEfj9KDecKN&#10;X6SsqGKWY+6a8uiPwjL2641vBheLRTbDXXMs3tqV48ehJ7o8dk/Mu4FcEWl5B8eVY9UravW2aTQW&#10;FrsIUmXeJYh7XAfocU8zhYc3JT0EL+Vs9fzyzX8BAAD//wMAUEsDBBQABgAIAAAAIQAVIPhD4QAA&#10;AAsBAAAPAAAAZHJzL2Rvd25yZXYueG1sTI9NS8NAEIbvgv9hGcGb3TQ2zYfZlCIUPAjSWPS6zY5J&#10;6H7E7KaN/97xVI/zzsM7z5Sb2Wh2xtH3zgpYLiJgaBunetsKOLzvHjJgPkirpHYWBfygh011e1PK&#10;QrmL3eO5Di2jEusLKaALYSg4902HRvqFG9DS7suNRgYax5arUV6o3GgeR9GaG9lbutDJAZ87bE71&#10;ZASsToc0nnZv+iPfZp/7Wn2nry9SiPu7efsELOAcrjD86ZM6VOR0dJNVnmkBj3maEyogXmYrYEQk&#10;yZqSIyVJFgOvSv7/h+oXAAD//wMAUEsBAi0AFAAGAAgAAAAhALaDOJL+AAAA4QEAABMAAAAAAAAA&#10;AAAAAAAAAAAAAFtDb250ZW50X1R5cGVzXS54bWxQSwECLQAUAAYACAAAACEAOP0h/9YAAACUAQAA&#10;CwAAAAAAAAAAAAAAAAAvAQAAX3JlbHMvLnJlbHNQSwECLQAUAAYACAAAACEAzcoNSncCAABBBQAA&#10;DgAAAAAAAAAAAAAAAAAuAgAAZHJzL2Uyb0RvYy54bWxQSwECLQAUAAYACAAAACEAFSD4Q+EAAAAL&#10;AQAADwAAAAAAAAAAAAAAAADRBAAAZHJzL2Rvd25yZXYueG1sUEsFBgAAAAAEAAQA8wAAAN8FAAAA&#10;AA==&#10;" adj="-11796480,,5400" path="m,l967569,r42081,42081l1009650,252483r,l42081,252483,,210402,,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67569,0;1009650,42081;1009650,252483;1009650,252483;42081,252483;0,210402;0,0" o:connectangles="0,0,0,0,0,0,0,0" textboxrect="0,0,1009650,252483"/>
                <v:textbox>
                  <w:txbxContent>
                    <w:p w:rsidR="00F07FF6" w:rsidRPr="00F07FF6" w:rsidRDefault="00F07FF6" w:rsidP="00F07FF6">
                      <w:pPr>
                        <w:jc w:val="center"/>
                        <w:rPr>
                          <w:sz w:val="16"/>
                          <w:szCs w:val="16"/>
                        </w:rPr>
                      </w:pPr>
                      <w:r w:rsidRPr="00F07FF6">
                        <w:rPr>
                          <w:sz w:val="16"/>
                          <w:szCs w:val="16"/>
                        </w:rPr>
                        <w:t xml:space="preserve">Nil </w:t>
                      </w:r>
                      <w:r w:rsidRPr="00F07FF6">
                        <w:rPr>
                          <w:sz w:val="16"/>
                          <w:szCs w:val="16"/>
                        </w:rPr>
                        <w:t xml:space="preserve"> </w:t>
                      </w:r>
                    </w:p>
                  </w:txbxContent>
                </v:textbox>
              </v:shape>
            </w:pict>
          </mc:Fallback>
        </mc:AlternateContent>
      </w:r>
      <w:r w:rsidRPr="00F07FF6">
        <w:rPr>
          <w:rFonts w:ascii="Arial"/>
          <w:b/>
          <w:noProof/>
          <w:sz w:val="16"/>
          <w:szCs w:val="22"/>
        </w:rPr>
        <mc:AlternateContent>
          <mc:Choice Requires="wps">
            <w:drawing>
              <wp:anchor distT="0" distB="0" distL="114300" distR="114300" simplePos="0" relativeHeight="251597312" behindDoc="0" locked="0" layoutInCell="1" allowOverlap="1" wp14:anchorId="19FD87A9" wp14:editId="2E4A1F22">
                <wp:simplePos x="0" y="0"/>
                <wp:positionH relativeFrom="column">
                  <wp:posOffset>2533015</wp:posOffset>
                </wp:positionH>
                <wp:positionV relativeFrom="paragraph">
                  <wp:posOffset>1010920</wp:posOffset>
                </wp:positionV>
                <wp:extent cx="1002665" cy="259080"/>
                <wp:effectExtent l="57150" t="38100" r="83185" b="102870"/>
                <wp:wrapNone/>
                <wp:docPr id="27" name="Rectangle: Diagonal Corners Snipped 27"/>
                <wp:cNvGraphicFramePr/>
                <a:graphic xmlns:a="http://schemas.openxmlformats.org/drawingml/2006/main">
                  <a:graphicData uri="http://schemas.microsoft.com/office/word/2010/wordprocessingShape">
                    <wps:wsp>
                      <wps:cNvSpPr/>
                      <wps:spPr>
                        <a:xfrm>
                          <a:off x="0" y="0"/>
                          <a:ext cx="1002665" cy="259080"/>
                        </a:xfrm>
                        <a:prstGeom prst="snip2DiagRect">
                          <a:avLst/>
                        </a:prstGeom>
                        <a:ln/>
                      </wps:spPr>
                      <wps:style>
                        <a:lnRef idx="1">
                          <a:schemeClr val="dk1"/>
                        </a:lnRef>
                        <a:fillRef idx="2">
                          <a:schemeClr val="dk1"/>
                        </a:fillRef>
                        <a:effectRef idx="1">
                          <a:schemeClr val="dk1"/>
                        </a:effectRef>
                        <a:fontRef idx="minor">
                          <a:schemeClr val="dk1"/>
                        </a:fontRef>
                      </wps:style>
                      <wps:txbx>
                        <w:txbxContent>
                          <w:p w:rsidR="00F07FF6" w:rsidRPr="00F07FF6" w:rsidRDefault="00F07FF6" w:rsidP="00F07FF6">
                            <w:pPr>
                              <w:jc w:val="center"/>
                              <w:rPr>
                                <w:sz w:val="16"/>
                                <w:szCs w:val="16"/>
                              </w:rPr>
                            </w:pPr>
                            <w:r w:rsidRPr="00F07FF6">
                              <w:rPr>
                                <w:sz w:val="16"/>
                                <w:szCs w:val="16"/>
                              </w:rPr>
                              <w:t>Signal validation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D87A9" id="Rectangle: Diagonal Corners Snipped 27" o:spid="_x0000_s1027" style="position:absolute;margin-left:199.45pt;margin-top:79.6pt;width:78.95pt;height:20.4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2665,259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pAewIAAEgFAAAOAAAAZHJzL2Uyb0RvYy54bWysVN1r2zAQfx/sfxB6X+2Y9MvUKSGhY1Da&#10;0rT0WZGlREzWaZISO/vrd5Idt3RjhbEX6U73ffc7XV13jSZ74bwCU9HJSU6JMBxqZTYVfX66+XJB&#10;iQ/M1EyDERU9CE+vZ58/XbW2FAVsQdfCEXRifNnaim5DsGWWeb4VDfMnYIVBoQTXsICs22S1Yy16&#10;b3RW5PlZ1oKrrQMuvMfXZS+ks+RfSsHDvZReBKIrirmFdLp0ruOZza5YuXHMbhUf0mD/kEXDlMGg&#10;o6slC4zsnPrNVaO4Aw8ynHBoMpBScZFqwGom+btqVltmRaoFm+Pt2Cb//9zyu/2DI6quaHFOiWEN&#10;zugRu8bMRouSLBXbgGGaLMAZnDJZGWWtqAlqY+ta60v0sLIPbuA8krEPnXRNvLFC0qV2H8Z2iy4Q&#10;jo+TPC/Ozk4p4SgrTi/zizSP7NXaOh++CmhIJCrqMXgRU4oZpnaz/a0PGBptjroxqjbxLWbX55Oo&#10;cNCiFz4KiSXHDJKTBDax0I7sGcKk/j6JtaFLbVAzmkil9WhU/N1o0I1mIgFwNPwg2qidIoIJo2Gj&#10;DLgPovb6x6r7WmPZoVt3ab6pqPiyhvqAM3fQL4O3/EZhe2+ZDw/MIfpxT3Cjwz0eUkNbURgoSrbg&#10;fv7pPeojKFFKSYvbhLP6sWNOUKK/GYTr5WQ6jeuXmOnpeYGMeytZv5WYXbMAnMQE/w7LExn1gz6S&#10;0kHzgos/j1FRxAzH2BXlwR2ZRei3HL8OLubzpIYrZ1m4NSvLj7OPqHnqXpizA8YCovMOjpvHyncI&#10;63XjhAzMdwGkSvB77eswAVzXBKHha4n/wVs+ab1+gLNfAAAA//8DAFBLAwQUAAYACAAAACEAu4me&#10;FN8AAAALAQAADwAAAGRycy9kb3ducmV2LnhtbEyPQUvDQBSE74L/YXmCN7tpS0oTsykiiJeCWEU8&#10;brKvydLdtzG7TeO/93nS4zDDzDfVbvZOTDhGG0jBcpGBQGqDsdQpeH97utuCiEmT0S4QKvjGCLv6&#10;+qrSpQkXesXpkDrBJRRLraBPaSiljG2PXsdFGJDYO4bR68Ry7KQZ9YXLvZOrLNtIry3xQq8HfOyx&#10;PR3OXsHevpxi/LLj8TM+r4tm75du+lDq9mZ+uAeRcE5/YfjFZ3SomakJZzJROAXrYltwlI28WIHg&#10;RJ5v+EyjgIczkHUl/3+ofwAAAP//AwBQSwECLQAUAAYACAAAACEAtoM4kv4AAADhAQAAEwAAAAAA&#10;AAAAAAAAAAAAAAAAW0NvbnRlbnRfVHlwZXNdLnhtbFBLAQItABQABgAIAAAAIQA4/SH/1gAAAJQB&#10;AAALAAAAAAAAAAAAAAAAAC8BAABfcmVscy8ucmVsc1BLAQItABQABgAIAAAAIQAKvWpAewIAAEgF&#10;AAAOAAAAAAAAAAAAAAAAAC4CAABkcnMvZTJvRG9jLnhtbFBLAQItABQABgAIAAAAIQC7iZ4U3wAA&#10;AAsBAAAPAAAAAAAAAAAAAAAAANUEAABkcnMvZG93bnJldi54bWxQSwUGAAAAAAQABADzAAAA4QUA&#10;AAAA&#10;" adj="-11796480,,5400" path="m,l959484,r43181,43181l1002665,259080r,l43181,259080,,215899,,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59484,0;1002665,43181;1002665,259080;1002665,259080;43181,259080;0,215899;0,0" o:connectangles="0,0,0,0,0,0,0,0" textboxrect="0,0,1002665,259080"/>
                <v:textbox>
                  <w:txbxContent>
                    <w:p w:rsidR="00F07FF6" w:rsidRPr="00F07FF6" w:rsidRDefault="00F07FF6" w:rsidP="00F07FF6">
                      <w:pPr>
                        <w:jc w:val="center"/>
                        <w:rPr>
                          <w:sz w:val="16"/>
                          <w:szCs w:val="16"/>
                        </w:rPr>
                      </w:pPr>
                      <w:r w:rsidRPr="00F07FF6">
                        <w:rPr>
                          <w:sz w:val="16"/>
                          <w:szCs w:val="16"/>
                        </w:rPr>
                        <w:t>Signal validation</w:t>
                      </w:r>
                    </w:p>
                  </w:txbxContent>
                </v:textbox>
              </v:shape>
            </w:pict>
          </mc:Fallback>
        </mc:AlternateContent>
      </w:r>
      <w:r>
        <w:rPr>
          <w:rFonts w:ascii="Arial"/>
          <w:b/>
          <w:noProof/>
          <w:sz w:val="16"/>
        </w:rPr>
        <mc:AlternateContent>
          <mc:Choice Requires="wps">
            <w:drawing>
              <wp:anchor distT="0" distB="0" distL="114300" distR="114300" simplePos="0" relativeHeight="251562496" behindDoc="0" locked="0" layoutInCell="1" allowOverlap="1">
                <wp:simplePos x="0" y="0"/>
                <wp:positionH relativeFrom="column">
                  <wp:posOffset>2526675</wp:posOffset>
                </wp:positionH>
                <wp:positionV relativeFrom="paragraph">
                  <wp:posOffset>621798</wp:posOffset>
                </wp:positionV>
                <wp:extent cx="1009015" cy="259307"/>
                <wp:effectExtent l="57150" t="38100" r="76835" b="102870"/>
                <wp:wrapNone/>
                <wp:docPr id="26" name="Rectangle: Diagonal Corners Snipped 26"/>
                <wp:cNvGraphicFramePr/>
                <a:graphic xmlns:a="http://schemas.openxmlformats.org/drawingml/2006/main">
                  <a:graphicData uri="http://schemas.microsoft.com/office/word/2010/wordprocessingShape">
                    <wps:wsp>
                      <wps:cNvSpPr/>
                      <wps:spPr>
                        <a:xfrm>
                          <a:off x="0" y="0"/>
                          <a:ext cx="1009015" cy="259307"/>
                        </a:xfrm>
                        <a:prstGeom prst="snip2DiagRect">
                          <a:avLst/>
                        </a:prstGeom>
                      </wps:spPr>
                      <wps:style>
                        <a:lnRef idx="1">
                          <a:schemeClr val="dk1"/>
                        </a:lnRef>
                        <a:fillRef idx="2">
                          <a:schemeClr val="dk1"/>
                        </a:fillRef>
                        <a:effectRef idx="1">
                          <a:schemeClr val="dk1"/>
                        </a:effectRef>
                        <a:fontRef idx="minor">
                          <a:schemeClr val="dk1"/>
                        </a:fontRef>
                      </wps:style>
                      <wps:txbx>
                        <w:txbxContent>
                          <w:p w:rsidR="00F07FF6" w:rsidRPr="00F07FF6" w:rsidRDefault="00F07FF6" w:rsidP="00F07FF6">
                            <w:pPr>
                              <w:jc w:val="center"/>
                              <w:rPr>
                                <w:sz w:val="16"/>
                                <w:szCs w:val="16"/>
                              </w:rPr>
                            </w:pPr>
                            <w:r w:rsidRPr="00F07FF6">
                              <w:rPr>
                                <w:sz w:val="16"/>
                                <w:szCs w:val="16"/>
                              </w:rPr>
                              <w:t xml:space="preserve">Label update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Snipped 26" o:spid="_x0000_s1028" style="position:absolute;margin-left:198.95pt;margin-top:48.95pt;width:79.45pt;height:20.4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9015,25930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UWrdgIAAEEFAAAOAAAAZHJzL2Uyb0RvYy54bWysVEtv2zAMvg/YfxB0X/1Yn0adIkjRYUDR&#10;Fk2HnhVZSoTJoiYpsbNfP0q206IbVmDYRSbNN/mRl1d9q8lOOK/A1LQ4yikRhkOjzLqm355uPp1T&#10;4gMzDdNgRE33wtOr2ccPl52tRAkb0I1wBJ0YX3W2ppsQbJVlnm9Ey/wRWGFQKMG1LCDr1lnjWIfe&#10;W52VeX6adeAa64AL7/Hv9SCks+RfSsHDvZReBKJrirmF9Lr0ruKbzS5ZtXbMbhQf02D/kEXLlMGg&#10;B1fXLDCydeo3V63iDjzIcMShzUBKxUWqAasp8jfVLDfMilQLNsfbQ5v8/3PL73YPjqimpuUpJYa1&#10;OKNH7Bozay0qcq3YGgzTZAHO4JTJ0ihrRUNQG1vXWV+hh6V9cCPnkYx96KVr4xcrJH1q9/7QbtEH&#10;wvFnkecXeXFCCUdZeXLxOT+LTrMXa+t8+CKgJZGoqcfgZUwpZpjazXa3Pgw2ky46iGkNiSQq7LWI&#10;uWjzKCTWGkMn64QysdCO7Bjio/lejPGTZjSRSuuDUfl3o1E3momEvIPhO9EO2ikimHAwbJUB907U&#10;QX+qeqg1lh36VT8MdprUCpo9DtvBsAXe8huFfb1lPjwwh7DHBcFVDvf4SA1dTWGkKNmA+/mn/1Ef&#10;0YhSSjpcIxzSjy1zghL91SBOL4rj47h3iTk+OSuRca8lq9cSs20XgJMo8GhYnsioH/RESgftM278&#10;PEZFETMcY9eUBzcxizCsN94MLubzpIa7Zlm4NUvLp9lHuDz1z8zZEVwBYXkH08qx6g20Bt04IQPz&#10;bQCpEu5ip4e+jhPAPU0QHm9KPASv+aT1cvlmvwAAAP//AwBQSwMEFAAGAAgAAAAhAGM7nWHfAAAA&#10;CgEAAA8AAABkcnMvZG93bnJldi54bWxMj8FOwzAMhu9IvENkJG4sZVXXrWs6AYMD2gGx8QBZ47VV&#10;G6dq0q28PYbLOFmWP/3+/nwz2U6ccfCNIwWPswgEUulMQ5WCr8PbwxKED5qM7hyhgm/0sClub3Kd&#10;GXehTzzvQyU4hHymFdQh9JmUvqzRaj9zPRLfTm6wOvA6VNIM+sLhtpPzKFpIqxviD7Xu8aXGst2P&#10;VsFHm7zG2+hg5Pv4vCu3fTpv651S93fT0xpEwClcYfjVZ3Uo2OnoRjJedAriVbpiVMHfZCBJFtzl&#10;yGS8TEEWufxfofgBAAD//wMAUEsBAi0AFAAGAAgAAAAhALaDOJL+AAAA4QEAABMAAAAAAAAAAAAA&#10;AAAAAAAAAFtDb250ZW50X1R5cGVzXS54bWxQSwECLQAUAAYACAAAACEAOP0h/9YAAACUAQAACwAA&#10;AAAAAAAAAAAAAAAvAQAAX3JlbHMvLnJlbHNQSwECLQAUAAYACAAAACEA1n1Fq3YCAABBBQAADgAA&#10;AAAAAAAAAAAAAAAuAgAAZHJzL2Uyb0RvYy54bWxQSwECLQAUAAYACAAAACEAYzudYd8AAAAKAQAA&#10;DwAAAAAAAAAAAAAAAADQBAAAZHJzL2Rvd25yZXYueG1sUEsFBgAAAAAEAAQA8wAAANwFAAAAAA==&#10;" adj="-11796480,,5400" path="m,l965796,r43219,43219l1009015,259307r,l43219,259307,,216088,,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65796,0;1009015,43219;1009015,259307;1009015,259307;43219,259307;0,216088;0,0" o:connectangles="0,0,0,0,0,0,0,0" textboxrect="0,0,1009015,259307"/>
                <v:textbox>
                  <w:txbxContent>
                    <w:p w:rsidR="00F07FF6" w:rsidRPr="00F07FF6" w:rsidRDefault="00F07FF6" w:rsidP="00F07FF6">
                      <w:pPr>
                        <w:jc w:val="center"/>
                        <w:rPr>
                          <w:sz w:val="16"/>
                          <w:szCs w:val="16"/>
                        </w:rPr>
                      </w:pPr>
                      <w:r w:rsidRPr="00F07FF6">
                        <w:rPr>
                          <w:sz w:val="16"/>
                          <w:szCs w:val="16"/>
                        </w:rPr>
                        <w:t xml:space="preserve">Label update </w:t>
                      </w:r>
                    </w:p>
                  </w:txbxContent>
                </v:textbox>
              </v:shape>
            </w:pict>
          </mc:Fallback>
        </mc:AlternateContent>
      </w:r>
      <w:r w:rsidR="00A21DD6">
        <w:rPr>
          <w:rFonts w:ascii="Arial"/>
          <w:b/>
          <w:noProof/>
          <w:sz w:val="16"/>
        </w:rPr>
        <w:drawing>
          <wp:inline distT="0" distB="0" distL="0" distR="0" wp14:anchorId="0E4178A8">
            <wp:extent cx="2469793" cy="1821976"/>
            <wp:effectExtent l="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6531" cy="1856455"/>
                    </a:xfrm>
                    <a:prstGeom prst="rect">
                      <a:avLst/>
                    </a:prstGeom>
                    <a:noFill/>
                  </pic:spPr>
                </pic:pic>
              </a:graphicData>
            </a:graphic>
          </wp:inline>
        </w:drawing>
      </w:r>
    </w:p>
    <w:p w:rsidR="00CF5186" w:rsidRDefault="00CF5186" w:rsidP="005973B9">
      <w:pPr>
        <w:spacing w:line="204" w:lineRule="exact"/>
        <w:rPr>
          <w:rFonts w:ascii="Arial"/>
          <w:b/>
          <w:color w:val="BF5A14"/>
          <w:sz w:val="20"/>
        </w:rPr>
      </w:pPr>
    </w:p>
    <w:p w:rsidR="0094450F" w:rsidRDefault="0094450F" w:rsidP="005973B9">
      <w:pPr>
        <w:spacing w:line="204" w:lineRule="exact"/>
        <w:rPr>
          <w:rFonts w:ascii="Arial"/>
          <w:b/>
          <w:color w:val="BF5A14"/>
          <w:sz w:val="20"/>
        </w:rPr>
      </w:pPr>
      <w:r>
        <w:rPr>
          <w:rFonts w:ascii="Arial"/>
          <w:b/>
          <w:color w:val="BF5A14"/>
          <w:sz w:val="20"/>
        </w:rPr>
        <w:t xml:space="preserve">Conclusion: </w:t>
      </w:r>
    </w:p>
    <w:p w:rsidR="0094450F" w:rsidRPr="0094450F" w:rsidRDefault="0094450F" w:rsidP="0094450F">
      <w:pPr>
        <w:spacing w:line="204" w:lineRule="exact"/>
        <w:jc w:val="both"/>
        <w:rPr>
          <w:sz w:val="18"/>
          <w:szCs w:val="18"/>
        </w:rPr>
      </w:pPr>
      <w:r w:rsidRPr="0094450F">
        <w:rPr>
          <w:sz w:val="18"/>
          <w:szCs w:val="18"/>
        </w:rPr>
        <w:t>This study shows an acceptable safety profile of MABs in MS patients. Besides, it reports data that</w:t>
      </w:r>
      <w:r>
        <w:rPr>
          <w:sz w:val="18"/>
          <w:szCs w:val="18"/>
        </w:rPr>
        <w:t xml:space="preserve"> </w:t>
      </w:r>
      <w:r w:rsidRPr="0094450F">
        <w:rPr>
          <w:sz w:val="18"/>
          <w:szCs w:val="18"/>
        </w:rPr>
        <w:t>identified new safety signals not previously addressed in the local &amp; international product information label, which need further investigation. Thus, there are strong motives for implementing similar programs to provide data for updated risk–benefit analyses.</w:t>
      </w:r>
    </w:p>
    <w:p w:rsidR="0094450F" w:rsidRDefault="0094450F" w:rsidP="005973B9">
      <w:pPr>
        <w:spacing w:line="204" w:lineRule="exact"/>
        <w:rPr>
          <w:rFonts w:ascii="Arial"/>
          <w:b/>
          <w:color w:val="BF5A14"/>
          <w:sz w:val="20"/>
        </w:rPr>
      </w:pPr>
    </w:p>
    <w:p w:rsidR="00AE3E37" w:rsidRPr="0094450F" w:rsidRDefault="005973B9" w:rsidP="0094450F">
      <w:pPr>
        <w:spacing w:line="204" w:lineRule="exact"/>
        <w:rPr>
          <w:rFonts w:ascii="Arial"/>
          <w:b/>
          <w:sz w:val="20"/>
        </w:rPr>
      </w:pPr>
      <w:r>
        <w:rPr>
          <w:rFonts w:ascii="Arial"/>
          <w:b/>
          <w:color w:val="BF5A14"/>
          <w:sz w:val="20"/>
        </w:rPr>
        <w:t>Recent Publications (minimum 5)</w:t>
      </w:r>
    </w:p>
    <w:p w:rsidR="0094450F" w:rsidRPr="0094450F" w:rsidRDefault="0094450F" w:rsidP="0094450F">
      <w:pPr>
        <w:spacing w:line="200" w:lineRule="exact"/>
        <w:jc w:val="both"/>
        <w:rPr>
          <w:rFonts w:ascii="Calibri" w:hAnsi="Calibri"/>
          <w:sz w:val="16"/>
          <w:szCs w:val="16"/>
        </w:rPr>
      </w:pPr>
      <w:r w:rsidRPr="0094450F">
        <w:rPr>
          <w:rFonts w:ascii="Calibri" w:hAnsi="Calibri"/>
          <w:sz w:val="16"/>
          <w:szCs w:val="16"/>
        </w:rPr>
        <w:t xml:space="preserve">1. Browne P, </w:t>
      </w:r>
      <w:proofErr w:type="spellStart"/>
      <w:r w:rsidRPr="0094450F">
        <w:rPr>
          <w:rFonts w:ascii="Calibri" w:hAnsi="Calibri"/>
          <w:sz w:val="16"/>
          <w:szCs w:val="16"/>
        </w:rPr>
        <w:t>Chandraratna</w:t>
      </w:r>
      <w:proofErr w:type="spellEnd"/>
      <w:r w:rsidRPr="0094450F">
        <w:rPr>
          <w:rFonts w:ascii="Calibri" w:hAnsi="Calibri"/>
          <w:sz w:val="16"/>
          <w:szCs w:val="16"/>
        </w:rPr>
        <w:t xml:space="preserve"> D, </w:t>
      </w:r>
      <w:proofErr w:type="spellStart"/>
      <w:r w:rsidRPr="0094450F">
        <w:rPr>
          <w:rFonts w:ascii="Calibri" w:hAnsi="Calibri"/>
          <w:sz w:val="16"/>
          <w:szCs w:val="16"/>
        </w:rPr>
        <w:t>Angood</w:t>
      </w:r>
      <w:proofErr w:type="spellEnd"/>
      <w:r w:rsidRPr="0094450F">
        <w:rPr>
          <w:rFonts w:ascii="Calibri" w:hAnsi="Calibri"/>
          <w:sz w:val="16"/>
          <w:szCs w:val="16"/>
        </w:rPr>
        <w:t xml:space="preserve"> C, Tremlett H, Baker C, Taylor BV, et al. Atlas of multiple sclerosis 2013: a growing global problem with widespread inequity. Neurology. </w:t>
      </w:r>
      <w:proofErr w:type="gramStart"/>
      <w:r w:rsidRPr="0094450F">
        <w:rPr>
          <w:rFonts w:ascii="Calibri" w:hAnsi="Calibri"/>
          <w:sz w:val="16"/>
          <w:szCs w:val="16"/>
        </w:rPr>
        <w:t>2014;83:1022</w:t>
      </w:r>
      <w:proofErr w:type="gramEnd"/>
      <w:r w:rsidRPr="0094450F">
        <w:rPr>
          <w:rFonts w:ascii="Calibri" w:hAnsi="Calibri"/>
          <w:sz w:val="16"/>
          <w:szCs w:val="16"/>
        </w:rPr>
        <w:t xml:space="preserve">–1024. </w:t>
      </w:r>
    </w:p>
    <w:p w:rsidR="00AE3E37" w:rsidRDefault="0094450F" w:rsidP="0094450F">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sidRPr="0094450F">
        <w:rPr>
          <w:rFonts w:ascii="Calibri" w:hAnsi="Calibri"/>
          <w:sz w:val="16"/>
          <w:szCs w:val="16"/>
        </w:rPr>
        <w:t xml:space="preserve">2. </w:t>
      </w:r>
      <w:proofErr w:type="spellStart"/>
      <w:r w:rsidRPr="0094450F">
        <w:rPr>
          <w:rFonts w:ascii="Calibri" w:hAnsi="Calibri"/>
          <w:sz w:val="16"/>
          <w:szCs w:val="16"/>
        </w:rPr>
        <w:t>AlJumah</w:t>
      </w:r>
      <w:proofErr w:type="spellEnd"/>
      <w:r w:rsidRPr="0094450F">
        <w:rPr>
          <w:rFonts w:ascii="Calibri" w:hAnsi="Calibri"/>
          <w:sz w:val="16"/>
          <w:szCs w:val="16"/>
        </w:rPr>
        <w:t xml:space="preserve"> M, Bunyan R, Al </w:t>
      </w:r>
      <w:proofErr w:type="spellStart"/>
      <w:r w:rsidRPr="0094450F">
        <w:rPr>
          <w:rFonts w:ascii="Calibri" w:hAnsi="Calibri"/>
          <w:sz w:val="16"/>
          <w:szCs w:val="16"/>
        </w:rPr>
        <w:t>Otaibi</w:t>
      </w:r>
      <w:proofErr w:type="spellEnd"/>
      <w:r w:rsidRPr="0094450F">
        <w:rPr>
          <w:rFonts w:ascii="Calibri" w:hAnsi="Calibri"/>
          <w:sz w:val="16"/>
          <w:szCs w:val="16"/>
        </w:rPr>
        <w:t xml:space="preserve"> H, Al </w:t>
      </w:r>
      <w:proofErr w:type="spellStart"/>
      <w:r w:rsidRPr="0094450F">
        <w:rPr>
          <w:rFonts w:ascii="Calibri" w:hAnsi="Calibri"/>
          <w:sz w:val="16"/>
          <w:szCs w:val="16"/>
        </w:rPr>
        <w:t>Towaijri</w:t>
      </w:r>
      <w:proofErr w:type="spellEnd"/>
      <w:r w:rsidRPr="0094450F">
        <w:rPr>
          <w:rFonts w:ascii="Calibri" w:hAnsi="Calibri"/>
          <w:sz w:val="16"/>
          <w:szCs w:val="16"/>
        </w:rPr>
        <w:t xml:space="preserve"> G, Karim A, Al Malik Y, et al. Rising prevalence of multiple sclerosis in Saudi Arabia, a descriptive study. BMC neurology. </w:t>
      </w:r>
      <w:proofErr w:type="gramStart"/>
      <w:r w:rsidRPr="0094450F">
        <w:rPr>
          <w:rFonts w:ascii="Calibri" w:hAnsi="Calibri"/>
          <w:sz w:val="16"/>
          <w:szCs w:val="16"/>
        </w:rPr>
        <w:t>2020;20:49</w:t>
      </w:r>
      <w:proofErr w:type="gramEnd"/>
      <w:r w:rsidRPr="0094450F">
        <w:rPr>
          <w:rFonts w:ascii="Calibri" w:hAnsi="Calibri"/>
        </w:rPr>
        <w:t>.</w:t>
      </w:r>
    </w:p>
    <w:p w:rsidR="00AE3E37" w:rsidRDefault="00AE3E37">
      <w:pPr>
        <w:pStyle w:val="BodyText"/>
        <w:rPr>
          <w:rFonts w:ascii="Calibri"/>
          <w:sz w:val="20"/>
        </w:rPr>
      </w:pPr>
    </w:p>
    <w:p w:rsidR="00AE3E37" w:rsidRDefault="00651853">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43658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F5186" w:rsidRDefault="00651853" w:rsidP="00404E5B">
      <w:pPr>
        <w:spacing w:before="92"/>
        <w:ind w:right="4234"/>
        <w:rPr>
          <w:rFonts w:ascii="Arial"/>
          <w:color w:val="BF5A14"/>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5611315</wp:posOffset>
                </wp:positionH>
                <wp:positionV relativeFrom="paragraph">
                  <wp:posOffset>86245</wp:posOffset>
                </wp:positionV>
                <wp:extent cx="1012190" cy="757451"/>
                <wp:effectExtent l="19050" t="19050" r="16510" b="2413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757451"/>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CF5186" w:rsidP="00A52075">
                            <w:pPr>
                              <w:rPr>
                                <w:b/>
                                <w:color w:val="0000FF"/>
                                <w:lang w:val="en-IN"/>
                              </w:rPr>
                            </w:pPr>
                            <w:r>
                              <w:rPr>
                                <w:noProof/>
                              </w:rPr>
                              <w:drawing>
                                <wp:inline distT="0" distB="0" distL="0" distR="0" wp14:anchorId="25089BB4" wp14:editId="564A1B69">
                                  <wp:extent cx="741680" cy="558708"/>
                                  <wp:effectExtent l="0" t="0" r="1270" b="0"/>
                                  <wp:docPr id="25" name="Picture 25" descr="Saudi Food &amp; Drug Authority Emphasizes the Importance of Registration of  Drug Companies in DENR System | Saudi Food and Drug Auth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udi Food &amp; Drug Authority Emphasizes the Importance of Registration of  Drug Companies in DENR System | Saudi Food and Drug Authorit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55870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9" style="position:absolute;margin-left:441.85pt;margin-top:6.8pt;width:79.7pt;height:5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thb3AIAAMkFAAAOAAAAZHJzL2Uyb0RvYy54bWysVN9v0zAQfkfif7D83uVHk6aNlk5t1yKk&#10;AdMG4tmNncbg2MF2mw7E/87ZyUq38YAQiRT54vPn++6+u8urYyPQgWnDlSxwdBFixGSpKJe7An/6&#10;uBlNMTKWSEqEkqzAD8zgq/nrV5ddm7NY1UpQphGASJN3bYFra9s8CExZs4aYC9UyCZuV0g2xYOpd&#10;QDXpAL0RQRyGk6BTmrZalcwY+Hvdb+K5x68qVtoPVWWYRaLAEJv1X+2/W/cN5pck32nS1rwcwiD/&#10;EEVDuIRLT1DXxBK01/wFVMNLrYyq7EWpmkBVFS+Z5wBsovAZm/uatMxzgeSY9pQm8/9gy/eHW404&#10;LXCMkSQNlOhO7SVlFN1B8ojcCYZil6auNTl437e32hE17Y0qvxok1aoGL7bQWnU1IxSCi5x/8OSA&#10;MwwcRdvunaJwC9lb5TN2rHTjACEX6OgL83AqDDtaVMLPKIziaAb1K2EvS7Mk7a8g+ePpVhv7hqkG&#10;uUWBtePgCPgryOHGWF8dOnAk9AtGVSOg1gciUDSZTDIfNMkH54Dkj5ierhKcbrgQ3tC77UpoBEcL&#10;vPHPcNicuwmJugKPoywNfRhPNs05xmy5XKazP2F4Il6kLrdrSf3aEi76NYQppIuJebEDT+8AiRso&#10;uxR6If5YbNIwS8bTUZal41EyXoej5XSzGi1WQD9bL1fLdfTTBRolec0pZXLtMc1jX0TJ3+lu6NBe&#10;0afOOAXoolV7y/R9TTtEuavXOJ3FEQYDWjPOQvdgRMQOZkppNUZa2c/c1r4hnDpeVGE6ce+QwRM6&#10;qPAsM856zq33OII6nOeQNS9dp9Ze9fa4PfoWGTt8p+Stog+gZYjKCxbmHyxqpb9j1MEsKbD5tiea&#10;YSTeSuiHWZQkbvh4I0mzGAx9vrM93yGyBKgCW8iAX65sP7D2rea7Gm6KPH+pFtBDFXcV9xH3UQ0G&#10;zAvPaZhtbiCd297r9wSe/wIAAP//AwBQSwMEFAAGAAgAAAAhAJhk5sHhAAAACwEAAA8AAABkcnMv&#10;ZG93bnJldi54bWxMj01PwzAMhu9I/IfISNxYuhWNUppOfGiIMU3TBty9xrQVjVM16Vb49aQnONrv&#10;o9ePs8VgGnGkztWWFUwnEQjiwuqaSwXvb8urBITzyBoby6Tgmxws8vOzDFNtT7yj496XIpSwS1FB&#10;5X2bSumKigy6iW2JQ/ZpO4M+jF0pdYenUG4aOYuiuTRYc7hQYUuPFRVf+94oqCP8eF36LW5x06/W&#10;65enh+fkR6nLi+H+DoSnwf/BMOoHdciD08H2rJ1oFCRJfBPQEMRzECMQXcdTEIdxM7sFmWfy/w/5&#10;LwAAAP//AwBQSwECLQAUAAYACAAAACEAtoM4kv4AAADhAQAAEwAAAAAAAAAAAAAAAAAAAAAAW0Nv&#10;bnRlbnRfVHlwZXNdLnhtbFBLAQItABQABgAIAAAAIQA4/SH/1gAAAJQBAAALAAAAAAAAAAAAAAAA&#10;AC8BAABfcmVscy8ucmVsc1BLAQItABQABgAIAAAAIQB4dthb3AIAAMkFAAAOAAAAAAAAAAAAAAAA&#10;AC4CAABkcnMvZTJvRG9jLnhtbFBLAQItABQABgAIAAAAIQCYZObB4QAAAAsBAAAPAAAAAAAAAAAA&#10;AAAAADYFAABkcnMvZG93bnJldi54bWxQSwUGAAAAAAQABADzAAAARAYAAAAA&#10;" strokecolor="#9bbb59" strokeweight="2.5pt">
                <v:shadow color="#868686"/>
                <v:textbox>
                  <w:txbxContent>
                    <w:p w:rsidR="00A52075" w:rsidRDefault="00CF5186" w:rsidP="00A52075">
                      <w:pPr>
                        <w:rPr>
                          <w:b/>
                          <w:color w:val="0000FF"/>
                          <w:lang w:val="en-IN"/>
                        </w:rPr>
                      </w:pPr>
                      <w:r>
                        <w:rPr>
                          <w:noProof/>
                        </w:rPr>
                        <w:drawing>
                          <wp:inline distT="0" distB="0" distL="0" distR="0" wp14:anchorId="25089BB4" wp14:editId="564A1B69">
                            <wp:extent cx="741680" cy="558708"/>
                            <wp:effectExtent l="0" t="0" r="1270" b="0"/>
                            <wp:docPr id="25" name="Picture 25" descr="Saudi Food &amp; Drug Authority Emphasizes the Importance of Registration of  Drug Companies in DENR System | Saudi Food and Drug Auth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udi Food &amp; Drug Authority Emphasizes the Importance of Registration of  Drug Companies in DENR System | Saudi Food and Drug Authorit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558708"/>
                                    </a:xfrm>
                                    <a:prstGeom prst="rect">
                                      <a:avLst/>
                                    </a:prstGeom>
                                    <a:noFill/>
                                    <a:ln>
                                      <a:noFill/>
                                    </a:ln>
                                  </pic:spPr>
                                </pic:pic>
                              </a:graphicData>
                            </a:graphic>
                          </wp:inline>
                        </w:drawing>
                      </w:r>
                    </w:p>
                  </w:txbxContent>
                </v:textbox>
              </v:roundrect>
            </w:pict>
          </mc:Fallback>
        </mc:AlternateContent>
      </w:r>
      <w:r w:rsidR="00CF5186" w:rsidRPr="00CF5186">
        <w:rPr>
          <w:noProof/>
        </w:rPr>
        <w:t xml:space="preserve"> </w:t>
      </w:r>
      <w:r w:rsidR="00CF5186">
        <w:rPr>
          <w:noProof/>
        </w:rPr>
        <w:drawing>
          <wp:inline distT="0" distB="0" distL="0" distR="0" wp14:anchorId="08E8E11C" wp14:editId="3FBDBAA6">
            <wp:extent cx="809553" cy="668740"/>
            <wp:effectExtent l="0" t="0" r="0" b="0"/>
            <wp:docPr id="10" name="Picture 2" descr="3b4320d5-1d7b-46ea-962b-1eefd30eb49e@sfda">
              <a:extLst xmlns:a="http://schemas.openxmlformats.org/drawingml/2006/main">
                <a:ext uri="{FF2B5EF4-FFF2-40B4-BE49-F238E27FC236}">
                  <a16:creationId xmlns:a16="http://schemas.microsoft.com/office/drawing/2014/main" id="{C67ED69F-6BE5-4220-BAD2-68C262D6FC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3b4320d5-1d7b-46ea-962b-1eefd30eb49e@sfda">
                      <a:extLst>
                        <a:ext uri="{FF2B5EF4-FFF2-40B4-BE49-F238E27FC236}">
                          <a16:creationId xmlns:a16="http://schemas.microsoft.com/office/drawing/2014/main" id="{C67ED69F-6BE5-4220-BAD2-68C262D6FC73}"/>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6422" cy="682675"/>
                    </a:xfrm>
                    <a:prstGeom prst="rect">
                      <a:avLst/>
                    </a:prstGeom>
                    <a:noFill/>
                    <a:ln>
                      <a:noFill/>
                    </a:ln>
                    <a:extLst/>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F07FF6" w:rsidRDefault="00CF5186" w:rsidP="00F07FF6">
      <w:pPr>
        <w:spacing w:before="41" w:line="154" w:lineRule="exact"/>
        <w:ind w:left="213" w:right="231"/>
        <w:jc w:val="both"/>
        <w:rPr>
          <w:rFonts w:ascii="Arial"/>
          <w:sz w:val="14"/>
        </w:rPr>
      </w:pPr>
      <w:r>
        <w:rPr>
          <w:rFonts w:ascii="Arial"/>
          <w:sz w:val="14"/>
        </w:rPr>
        <w:t xml:space="preserve">Eman </w:t>
      </w:r>
      <w:r w:rsidR="00F07FF6">
        <w:rPr>
          <w:rFonts w:ascii="Arial"/>
          <w:sz w:val="14"/>
        </w:rPr>
        <w:t>Alghamdi</w:t>
      </w:r>
      <w:r>
        <w:rPr>
          <w:rFonts w:ascii="Arial"/>
          <w:sz w:val="14"/>
        </w:rPr>
        <w:t xml:space="preserve"> </w:t>
      </w:r>
      <w:r w:rsidR="007920BB">
        <w:rPr>
          <w:rFonts w:ascii="Arial"/>
          <w:sz w:val="14"/>
        </w:rPr>
        <w:t>has her</w:t>
      </w:r>
      <w:r w:rsidR="007920BB" w:rsidRPr="007920BB">
        <w:t xml:space="preserve"> </w:t>
      </w:r>
      <w:r w:rsidR="007920BB" w:rsidRPr="007920BB">
        <w:rPr>
          <w:rFonts w:ascii="Arial"/>
          <w:sz w:val="14"/>
        </w:rPr>
        <w:t>expertise</w:t>
      </w:r>
      <w:r w:rsidR="007920BB">
        <w:rPr>
          <w:rFonts w:ascii="Arial"/>
          <w:sz w:val="14"/>
        </w:rPr>
        <w:t xml:space="preserve"> in drug safety started from</w:t>
      </w:r>
      <w:r w:rsidR="00F07FF6" w:rsidRPr="00F07FF6">
        <w:rPr>
          <w:rFonts w:ascii="Arial"/>
          <w:sz w:val="14"/>
        </w:rPr>
        <w:t xml:space="preserve"> 2015, at hospital setting since </w:t>
      </w:r>
      <w:r w:rsidR="00F07FF6">
        <w:rPr>
          <w:rFonts w:ascii="Arial"/>
          <w:sz w:val="14"/>
        </w:rPr>
        <w:t>she</w:t>
      </w:r>
      <w:r w:rsidR="00F07FF6" w:rsidRPr="00F07FF6">
        <w:rPr>
          <w:rFonts w:ascii="Arial"/>
          <w:sz w:val="14"/>
        </w:rPr>
        <w:t xml:space="preserve"> worked as Drug and Poison Information P</w:t>
      </w:r>
      <w:r w:rsidR="007920BB">
        <w:rPr>
          <w:rFonts w:ascii="Arial"/>
          <w:sz w:val="14"/>
        </w:rPr>
        <w:t>harmacist</w:t>
      </w:r>
      <w:r w:rsidR="00F07FF6" w:rsidRPr="00F07FF6">
        <w:rPr>
          <w:rFonts w:ascii="Arial"/>
          <w:sz w:val="14"/>
        </w:rPr>
        <w:t xml:space="preserve">, </w:t>
      </w:r>
      <w:r w:rsidR="00F07FF6">
        <w:rPr>
          <w:rFonts w:ascii="Arial"/>
          <w:sz w:val="14"/>
        </w:rPr>
        <w:t xml:space="preserve">she </w:t>
      </w:r>
      <w:r w:rsidR="00F07FF6" w:rsidRPr="00F07FF6">
        <w:rPr>
          <w:rFonts w:ascii="Arial"/>
          <w:sz w:val="14"/>
        </w:rPr>
        <w:t>was in-charge for the adverse drug reaction</w:t>
      </w:r>
      <w:r w:rsidR="007920BB">
        <w:rPr>
          <w:rFonts w:ascii="Arial"/>
          <w:sz w:val="14"/>
        </w:rPr>
        <w:t>s</w:t>
      </w:r>
      <w:r w:rsidR="00F07FF6" w:rsidRPr="00F07FF6">
        <w:rPr>
          <w:rFonts w:ascii="Arial"/>
          <w:sz w:val="14"/>
        </w:rPr>
        <w:t>,</w:t>
      </w:r>
      <w:r w:rsidR="007920BB">
        <w:rPr>
          <w:rFonts w:ascii="Arial"/>
          <w:sz w:val="14"/>
        </w:rPr>
        <w:t xml:space="preserve"> overdosing, and toxicity</w:t>
      </w:r>
      <w:r w:rsidR="00F07FF6" w:rsidRPr="00F07FF6">
        <w:rPr>
          <w:rFonts w:ascii="Arial"/>
          <w:sz w:val="14"/>
        </w:rPr>
        <w:t xml:space="preserve"> </w:t>
      </w:r>
      <w:r w:rsidR="007920BB">
        <w:rPr>
          <w:rFonts w:ascii="Arial"/>
          <w:sz w:val="14"/>
        </w:rPr>
        <w:t xml:space="preserve">cases. </w:t>
      </w:r>
      <w:r w:rsidR="00F07FF6" w:rsidRPr="00F07FF6">
        <w:rPr>
          <w:rFonts w:ascii="Arial"/>
          <w:sz w:val="14"/>
        </w:rPr>
        <w:t xml:space="preserve">In 2017-2018, </w:t>
      </w:r>
      <w:r w:rsidR="00F07FF6">
        <w:rPr>
          <w:rFonts w:ascii="Arial"/>
          <w:sz w:val="14"/>
        </w:rPr>
        <w:t xml:space="preserve">she </w:t>
      </w:r>
      <w:r w:rsidR="00F07FF6" w:rsidRPr="00F07FF6">
        <w:rPr>
          <w:rFonts w:ascii="Arial"/>
          <w:sz w:val="14"/>
        </w:rPr>
        <w:t xml:space="preserve">was member in Quality Improvement and Patient Safety Joint Commission International team. Then, </w:t>
      </w:r>
      <w:r w:rsidR="00F07FF6">
        <w:rPr>
          <w:rFonts w:ascii="Arial"/>
          <w:sz w:val="14"/>
        </w:rPr>
        <w:t xml:space="preserve">in </w:t>
      </w:r>
      <w:r w:rsidR="00F07FF6" w:rsidRPr="00F07FF6">
        <w:rPr>
          <w:rFonts w:ascii="Arial"/>
          <w:sz w:val="14"/>
        </w:rPr>
        <w:t xml:space="preserve">2019, </w:t>
      </w:r>
      <w:r w:rsidR="00F07FF6">
        <w:rPr>
          <w:rFonts w:ascii="Arial"/>
          <w:sz w:val="14"/>
        </w:rPr>
        <w:t>she</w:t>
      </w:r>
      <w:r w:rsidR="00F07FF6" w:rsidRPr="00F07FF6">
        <w:rPr>
          <w:rFonts w:ascii="Arial"/>
          <w:sz w:val="14"/>
        </w:rPr>
        <w:t xml:space="preserve"> ha</w:t>
      </w:r>
      <w:r w:rsidR="00F07FF6">
        <w:rPr>
          <w:rFonts w:ascii="Arial"/>
          <w:sz w:val="14"/>
        </w:rPr>
        <w:t>s</w:t>
      </w:r>
      <w:r w:rsidR="00F07FF6" w:rsidRPr="00F07FF6">
        <w:rPr>
          <w:rFonts w:ascii="Arial"/>
          <w:sz w:val="14"/>
        </w:rPr>
        <w:t xml:space="preserve"> joined SFDA, in the Pharmacovigilance Executive Directorate, as Senior Drug Safety Specialist. My main task is evaluating the safety of medicinal products available in Saudi Arabia proactively and whenever there is a potential safety signal. I was honored to be a secretary of the National Higher Advisory Pharmacovigilance Committee.</w:t>
      </w:r>
      <w:r w:rsidR="0004300E">
        <w:rPr>
          <w:rFonts w:ascii="Arial"/>
          <w:sz w:val="14"/>
        </w:rPr>
        <w:t xml:space="preserve"> </w:t>
      </w:r>
      <w:proofErr w:type="spellStart"/>
      <w:r w:rsidR="0004300E">
        <w:rPr>
          <w:rFonts w:ascii="Arial"/>
          <w:sz w:val="14"/>
        </w:rPr>
        <w:t>Ms</w:t>
      </w:r>
      <w:proofErr w:type="spellEnd"/>
      <w:r w:rsidR="0004300E">
        <w:rPr>
          <w:rFonts w:ascii="Arial"/>
          <w:sz w:val="14"/>
        </w:rPr>
        <w:t xml:space="preserve"> Alghamdi is</w:t>
      </w:r>
      <w:r w:rsidR="0004300E" w:rsidRPr="0004300E">
        <w:rPr>
          <w:rFonts w:ascii="Arial"/>
          <w:sz w:val="14"/>
        </w:rPr>
        <w:t xml:space="preserve"> a member of many scientific and national committees and </w:t>
      </w:r>
      <w:r w:rsidR="0004300E">
        <w:rPr>
          <w:rFonts w:ascii="Arial"/>
          <w:sz w:val="14"/>
        </w:rPr>
        <w:t>has</w:t>
      </w:r>
      <w:r w:rsidR="0004300E" w:rsidRPr="0004300E">
        <w:rPr>
          <w:rFonts w:ascii="Arial"/>
          <w:sz w:val="14"/>
        </w:rPr>
        <w:t xml:space="preserve"> participated </w:t>
      </w:r>
      <w:r w:rsidR="0004300E">
        <w:rPr>
          <w:rFonts w:ascii="Arial"/>
          <w:sz w:val="14"/>
        </w:rPr>
        <w:t xml:space="preserve">in </w:t>
      </w:r>
      <w:r w:rsidR="0004300E" w:rsidRPr="0004300E">
        <w:rPr>
          <w:rFonts w:ascii="Arial"/>
          <w:sz w:val="14"/>
        </w:rPr>
        <w:t xml:space="preserve">several local and international conferences related to </w:t>
      </w:r>
      <w:r w:rsidR="0004300E">
        <w:rPr>
          <w:rFonts w:ascii="Arial"/>
          <w:sz w:val="14"/>
        </w:rPr>
        <w:t>drug safety</w:t>
      </w:r>
      <w:r w:rsidR="0004300E" w:rsidRPr="0004300E">
        <w:rPr>
          <w:rFonts w:ascii="Arial"/>
          <w:sz w:val="14"/>
        </w:rPr>
        <w:t xml:space="preserve"> as moderator, speaker,</w:t>
      </w:r>
      <w:r w:rsidR="0004300E">
        <w:rPr>
          <w:rFonts w:ascii="Arial"/>
          <w:sz w:val="14"/>
        </w:rPr>
        <w:t xml:space="preserve"> she the </w:t>
      </w:r>
      <w:r w:rsidR="0004300E" w:rsidRPr="0004300E">
        <w:rPr>
          <w:rFonts w:ascii="Arial"/>
          <w:sz w:val="14"/>
        </w:rPr>
        <w:t>country</w:t>
      </w:r>
      <w:r w:rsidR="0004300E">
        <w:rPr>
          <w:rFonts w:ascii="Arial"/>
          <w:sz w:val="14"/>
        </w:rPr>
        <w:t xml:space="preserve"> representative in the ISOP Middle East Chapter</w:t>
      </w:r>
      <w:r w:rsidR="0004300E" w:rsidRPr="0004300E">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Pr="0004300E" w:rsidRDefault="00651853" w:rsidP="0004300E">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C7620"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04300E" w:rsidRPr="0013708E" w:rsidRDefault="0004300E" w:rsidP="0004300E">
      <w:pPr>
        <w:jc w:val="both"/>
        <w:rPr>
          <w:b/>
        </w:rPr>
      </w:pPr>
      <w:r w:rsidRPr="0013708E">
        <w:rPr>
          <w:b/>
        </w:rPr>
        <w:t xml:space="preserve">Presenting author details </w:t>
      </w:r>
    </w:p>
    <w:p w:rsidR="0004300E" w:rsidRPr="0013708E" w:rsidRDefault="0004300E" w:rsidP="0004300E">
      <w:pPr>
        <w:jc w:val="both"/>
      </w:pPr>
      <w:r w:rsidRPr="0013708E">
        <w:t xml:space="preserve">Full name: </w:t>
      </w:r>
      <w:r>
        <w:t>Eman A. Alghamdi</w:t>
      </w:r>
    </w:p>
    <w:p w:rsidR="0004300E" w:rsidRDefault="0004300E" w:rsidP="0004300E">
      <w:pPr>
        <w:jc w:val="both"/>
      </w:pPr>
      <w:r w:rsidRPr="0013708E">
        <w:t>Contact number:</w:t>
      </w:r>
      <w:r>
        <w:t xml:space="preserve"> +966554422800</w:t>
      </w:r>
    </w:p>
    <w:p w:rsidR="0004300E" w:rsidRPr="0013708E" w:rsidRDefault="0004300E" w:rsidP="0004300E">
      <w:pPr>
        <w:jc w:val="both"/>
      </w:pPr>
      <w:r>
        <w:t xml:space="preserve">Mail id: e.aghamdi@sfda.gov.sa </w:t>
      </w:r>
    </w:p>
    <w:p w:rsidR="0004300E" w:rsidRPr="0004300E" w:rsidRDefault="0004300E" w:rsidP="0004300E">
      <w:pPr>
        <w:rPr>
          <w:rFonts w:ascii="Minion Pro"/>
          <w:sz w:val="26"/>
        </w:rPr>
        <w:sectPr w:rsidR="0004300E" w:rsidRPr="0004300E" w:rsidSect="008E5477">
          <w:type w:val="continuous"/>
          <w:pgSz w:w="11910" w:h="16840"/>
          <w:pgMar w:top="995" w:right="600" w:bottom="840" w:left="620" w:header="720" w:footer="720" w:gutter="0"/>
          <w:cols w:space="720"/>
        </w:sectPr>
      </w:pPr>
      <w:r w:rsidRPr="0013708E">
        <w:t>Category: (Oral presentatio</w:t>
      </w:r>
      <w:r>
        <w:t>n)</w:t>
      </w:r>
    </w:p>
    <w:p w:rsidR="00AE3E37" w:rsidRDefault="00AE3E37" w:rsidP="0004300E">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685A" w:rsidRDefault="0089685A">
      <w:r>
        <w:separator/>
      </w:r>
    </w:p>
  </w:endnote>
  <w:endnote w:type="continuationSeparator" w:id="0">
    <w:p w:rsidR="0089685A" w:rsidRDefault="00896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651853">
    <w:pPr>
      <w:pStyle w:val="BodyText"/>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0"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2"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685A" w:rsidRDefault="0089685A">
      <w:r>
        <w:separator/>
      </w:r>
    </w:p>
  </w:footnote>
  <w:footnote w:type="continuationSeparator" w:id="0">
    <w:p w:rsidR="0089685A" w:rsidRDefault="008968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FD0"/>
    <w:rsid w:val="0004300E"/>
    <w:rsid w:val="000E2911"/>
    <w:rsid w:val="001263DF"/>
    <w:rsid w:val="00235E8A"/>
    <w:rsid w:val="00292ED9"/>
    <w:rsid w:val="00351D9B"/>
    <w:rsid w:val="00380299"/>
    <w:rsid w:val="00404E5B"/>
    <w:rsid w:val="004137AD"/>
    <w:rsid w:val="00414F7B"/>
    <w:rsid w:val="004355DC"/>
    <w:rsid w:val="004749B4"/>
    <w:rsid w:val="00494130"/>
    <w:rsid w:val="004F3523"/>
    <w:rsid w:val="00596191"/>
    <w:rsid w:val="005973B9"/>
    <w:rsid w:val="005B3A56"/>
    <w:rsid w:val="006060CE"/>
    <w:rsid w:val="0061505C"/>
    <w:rsid w:val="0063497F"/>
    <w:rsid w:val="00651853"/>
    <w:rsid w:val="00714354"/>
    <w:rsid w:val="007679FC"/>
    <w:rsid w:val="007920BB"/>
    <w:rsid w:val="00873DF0"/>
    <w:rsid w:val="008756E6"/>
    <w:rsid w:val="0089685A"/>
    <w:rsid w:val="00897EC5"/>
    <w:rsid w:val="008E5477"/>
    <w:rsid w:val="008F0B3B"/>
    <w:rsid w:val="0094450F"/>
    <w:rsid w:val="009B2D44"/>
    <w:rsid w:val="00A07E82"/>
    <w:rsid w:val="00A21DD6"/>
    <w:rsid w:val="00A52075"/>
    <w:rsid w:val="00A9710C"/>
    <w:rsid w:val="00AE3E37"/>
    <w:rsid w:val="00B21A57"/>
    <w:rsid w:val="00C33602"/>
    <w:rsid w:val="00C56C74"/>
    <w:rsid w:val="00C96390"/>
    <w:rsid w:val="00CD6F55"/>
    <w:rsid w:val="00CE0E21"/>
    <w:rsid w:val="00CF5186"/>
    <w:rsid w:val="00D31ACA"/>
    <w:rsid w:val="00DE3104"/>
    <w:rsid w:val="00DE6170"/>
    <w:rsid w:val="00E30AAC"/>
    <w:rsid w:val="00E95D97"/>
    <w:rsid w:val="00F046EA"/>
    <w:rsid w:val="00F051CC"/>
    <w:rsid w:val="00F07FF6"/>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6221AB"/>
  <w15:docId w15:val="{FE0156B6-1A79-49DE-87F4-607F1B273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A21DD6"/>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2059851">
      <w:bodyDiv w:val="1"/>
      <w:marLeft w:val="0"/>
      <w:marRight w:val="0"/>
      <w:marTop w:val="0"/>
      <w:marBottom w:val="0"/>
      <w:divBdr>
        <w:top w:val="none" w:sz="0" w:space="0" w:color="auto"/>
        <w:left w:val="none" w:sz="0" w:space="0" w:color="auto"/>
        <w:bottom w:val="none" w:sz="0" w:space="0" w:color="auto"/>
        <w:right w:val="none" w:sz="0" w:space="0" w:color="auto"/>
      </w:divBdr>
    </w:div>
    <w:div w:id="99418520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5253B-038A-44E4-8BC0-901F84FD4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Eman A. Alghamdi</cp:lastModifiedBy>
  <cp:revision>2</cp:revision>
  <dcterms:created xsi:type="dcterms:W3CDTF">2022-06-26T12:09:00Z</dcterms:created>
  <dcterms:modified xsi:type="dcterms:W3CDTF">2022-06-26T12:09:00Z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