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79DB824" w14:textId="77777777" w:rsidR="00E054C8" w:rsidRPr="00C60DDC" w:rsidRDefault="00E054C8" w:rsidP="00E054C8">
      <w:pPr>
        <w:pStyle w:val="Heading1"/>
        <w:rPr>
          <w:color w:val="8DB3E2" w:themeColor="text2" w:themeTint="66"/>
        </w:rPr>
      </w:pPr>
      <w:r w:rsidRPr="00C60DDC">
        <w:rPr>
          <w:color w:val="8DB3E2" w:themeColor="text2" w:themeTint="66"/>
        </w:rPr>
        <w:t>Selecting a trusted CRO part</w:t>
      </w:r>
      <w:r w:rsidR="00C60DDC" w:rsidRPr="00C60DDC">
        <w:rPr>
          <w:color w:val="8DB3E2" w:themeColor="text2" w:themeTint="66"/>
        </w:rPr>
        <w:t>ner for outsourcing clinical tria</w:t>
      </w:r>
      <w:r w:rsidRPr="00C60DDC">
        <w:rPr>
          <w:color w:val="8DB3E2" w:themeColor="text2" w:themeTint="66"/>
        </w:rPr>
        <w:t>ls and pharmacovigilance</w:t>
      </w:r>
    </w:p>
    <w:p w14:paraId="18AE0AA2" w14:textId="77777777" w:rsidR="005973B9" w:rsidRDefault="00E054C8" w:rsidP="00E054C8">
      <w:pPr>
        <w:pStyle w:val="Heading1"/>
        <w:rPr>
          <w:rFonts w:ascii="Arial"/>
        </w:rPr>
      </w:pPr>
      <w:r>
        <w:rPr>
          <w:rFonts w:ascii="Arial"/>
        </w:rPr>
        <w:t>Chinmaya Mahapatra, Deepa Arora</w:t>
      </w:r>
    </w:p>
    <w:p w14:paraId="67DA9C40" w14:textId="77777777" w:rsidR="00AE3E37" w:rsidRDefault="00AE3E37">
      <w:pPr>
        <w:pStyle w:val="BodyText"/>
        <w:rPr>
          <w:rFonts w:ascii="Arial"/>
          <w:sz w:val="20"/>
        </w:rPr>
      </w:pPr>
    </w:p>
    <w:p w14:paraId="48A93451" w14:textId="77777777" w:rsidR="00AE3E37" w:rsidRDefault="00AE3E37">
      <w:pPr>
        <w:rPr>
          <w:rFonts w:ascii="Arial"/>
          <w:sz w:val="21"/>
        </w:rPr>
        <w:sectPr w:rsidR="00AE3E37" w:rsidSect="008E5477">
          <w:footerReference w:type="default" r:id="rId7"/>
          <w:type w:val="continuous"/>
          <w:pgSz w:w="11910" w:h="16840"/>
          <w:pgMar w:top="995" w:right="600" w:bottom="840" w:left="620" w:header="0" w:footer="0" w:gutter="0"/>
          <w:cols w:space="720"/>
          <w:docGrid w:linePitch="299"/>
        </w:sectPr>
      </w:pPr>
    </w:p>
    <w:p w14:paraId="1E48E4F0" w14:textId="77777777" w:rsidR="00AE3E37" w:rsidRDefault="00A9710C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(</w:t>
      </w:r>
      <w:proofErr w:type="gramStart"/>
      <w:r w:rsidR="00404E5B">
        <w:rPr>
          <w:color w:val="BF5A14"/>
        </w:rPr>
        <w:t>300 word</w:t>
      </w:r>
      <w:proofErr w:type="gramEnd"/>
      <w:r w:rsidR="00404E5B">
        <w:rPr>
          <w:color w:val="BF5A14"/>
        </w:rPr>
        <w:t xml:space="preserve"> limit)</w:t>
      </w:r>
    </w:p>
    <w:p w14:paraId="6D839909" w14:textId="696D4A58" w:rsidR="00AE3E37" w:rsidRDefault="00C60DDC">
      <w:pPr>
        <w:pStyle w:val="BodyText"/>
        <w:spacing w:before="90" w:line="280" w:lineRule="auto"/>
        <w:ind w:left="100"/>
        <w:jc w:val="both"/>
      </w:pPr>
      <w:r>
        <w:t xml:space="preserve">Contract Research Organizations (CRO), are the backbone of most of the pharmaceutical companies for Clinical trials and Pharmacovigilance. </w:t>
      </w:r>
      <w:r w:rsidR="00A9710C">
        <w:t xml:space="preserve"> </w:t>
      </w:r>
      <w:r>
        <w:t>With the advancement of technology in the field of artificial intelligence and machine learning</w:t>
      </w:r>
      <w:r w:rsidR="00F7399E">
        <w:t>, the regulator</w:t>
      </w:r>
      <w:r w:rsidR="00CF63BB">
        <w:t>s</w:t>
      </w:r>
      <w:r>
        <w:t xml:space="preserve"> a</w:t>
      </w:r>
      <w:r w:rsidR="001070CB">
        <w:t>re more keen towards the quality</w:t>
      </w:r>
      <w:r>
        <w:t xml:space="preserve"> information about clinical trials. The testing of safety and </w:t>
      </w:r>
      <w:r w:rsidR="001070CB">
        <w:t>efficacy of newly investigational drug</w:t>
      </w:r>
      <w:r w:rsidR="00CF63BB">
        <w:t>s</w:t>
      </w:r>
      <w:r w:rsidR="001070CB">
        <w:t xml:space="preserve"> and drug products poses many challenges for pharmaceutical companies. Hence to overcome this challenge in a short span of time</w:t>
      </w:r>
      <w:r w:rsidR="00CF63BB">
        <w:t>, a good</w:t>
      </w:r>
      <w:r w:rsidR="001070CB">
        <w:t xml:space="preserve"> CRO</w:t>
      </w:r>
      <w:r w:rsidR="00CF63BB">
        <w:t xml:space="preserve"> partner</w:t>
      </w:r>
      <w:r w:rsidR="001070CB">
        <w:t xml:space="preserve"> plays a vital role in supporting</w:t>
      </w:r>
      <w:r w:rsidR="00CF63BB">
        <w:t xml:space="preserve"> a</w:t>
      </w:r>
      <w:r w:rsidR="001070CB">
        <w:t xml:space="preserve"> pharmaceutical compan</w:t>
      </w:r>
      <w:r w:rsidR="00CF63BB">
        <w:t>y</w:t>
      </w:r>
      <w:r w:rsidR="001070CB">
        <w:t xml:space="preserve"> to meet the regulatory requirements starting from IND filing to Post marketing surveillance. Selecting the best CRO for outsourcing a clinical trial is very important. The performance of a CRO is </w:t>
      </w:r>
      <w:r w:rsidR="0037358D">
        <w:t xml:space="preserve">measured by on time </w:t>
      </w:r>
      <w:r w:rsidR="00CF63BB">
        <w:t>completi</w:t>
      </w:r>
      <w:r w:rsidR="0037358D">
        <w:t xml:space="preserve">on of </w:t>
      </w:r>
      <w:r w:rsidR="00CF63BB">
        <w:t xml:space="preserve">patient recruitments within projected cost, generation of high </w:t>
      </w:r>
      <w:r w:rsidR="001070CB">
        <w:t xml:space="preserve">quality data and </w:t>
      </w:r>
      <w:r w:rsidR="00CF63BB">
        <w:t xml:space="preserve">data integrity. </w:t>
      </w:r>
    </w:p>
    <w:p w14:paraId="7446D0BF" w14:textId="4F45E22C" w:rsidR="0037358D" w:rsidRDefault="0037358D" w:rsidP="0037358D">
      <w:pPr>
        <w:pStyle w:val="BodyText"/>
        <w:spacing w:before="90" w:line="280" w:lineRule="auto"/>
        <w:ind w:left="100"/>
        <w:jc w:val="both"/>
      </w:pPr>
      <w:r>
        <w:t xml:space="preserve">An ISO certified Company </w:t>
      </w:r>
      <w:proofErr w:type="spellStart"/>
      <w:r>
        <w:t>Clinexel</w:t>
      </w:r>
      <w:proofErr w:type="spellEnd"/>
      <w:r>
        <w:t xml:space="preserve"> life Sciences Pvt. Ltd is a CRO based in India with partners across the globe. It provides full services in the field of clinical trials, medical writing, regulatory affairs and pharmacovigilance. </w:t>
      </w:r>
      <w:proofErr w:type="spellStart"/>
      <w:r>
        <w:t>Clinexel</w:t>
      </w:r>
      <w:proofErr w:type="spellEnd"/>
      <w:r>
        <w:t xml:space="preserve"> is also a member of </w:t>
      </w:r>
      <w:r>
        <w:rPr>
          <w:lang w:val="en-IN"/>
        </w:rPr>
        <w:t xml:space="preserve">AICROS since </w:t>
      </w:r>
      <w:r w:rsidRPr="00885633">
        <w:rPr>
          <w:lang w:val="en-IN"/>
        </w:rPr>
        <w:t>July 2020</w:t>
      </w:r>
      <w:r>
        <w:rPr>
          <w:lang w:val="en-GB"/>
        </w:rPr>
        <w:t xml:space="preserve"> and it </w:t>
      </w:r>
      <w:r>
        <w:t>could be a great choice for pharmaceutical companies, Biotechnology companies and medical device manufacturing companies.</w:t>
      </w:r>
      <w:r w:rsidR="00370F6E">
        <w:t xml:space="preserve"> </w:t>
      </w:r>
      <w:proofErr w:type="spellStart"/>
      <w:r w:rsidR="00370F6E">
        <w:t>Clinexel</w:t>
      </w:r>
      <w:proofErr w:type="spellEnd"/>
      <w:r w:rsidR="00370F6E">
        <w:t xml:space="preserve"> also supports academic clinical trials and Investigator initiated clinical </w:t>
      </w:r>
      <w:proofErr w:type="spellStart"/>
      <w:proofErr w:type="gramStart"/>
      <w:r w:rsidR="00370F6E">
        <w:t>trials.S</w:t>
      </w:r>
      <w:proofErr w:type="spellEnd"/>
      <w:proofErr w:type="gramEnd"/>
    </w:p>
    <w:p w14:paraId="67B70526" w14:textId="08E40214" w:rsidR="00517B75" w:rsidRDefault="0037358D">
      <w:pPr>
        <w:pStyle w:val="BodyText"/>
        <w:spacing w:before="90" w:line="280" w:lineRule="auto"/>
        <w:ind w:left="100"/>
        <w:jc w:val="both"/>
      </w:pPr>
      <w:proofErr w:type="spellStart"/>
      <w:r>
        <w:t>Clinexel</w:t>
      </w:r>
      <w:proofErr w:type="spellEnd"/>
      <w:r>
        <w:t xml:space="preserve"> is conducting Phase 1, 2 and 3 Clinical Trials and complete Pharmacovigilance Operations. It is niche CRO supporting early stage </w:t>
      </w:r>
      <w:proofErr w:type="spellStart"/>
      <w:r>
        <w:t>RnD</w:t>
      </w:r>
      <w:proofErr w:type="spellEnd"/>
      <w:r>
        <w:t xml:space="preserve"> labs and small and mid- size pharma companies for fast and efficient clinical development of their medicinal products. </w:t>
      </w:r>
      <w:proofErr w:type="spellStart"/>
      <w:r>
        <w:t>Clinexel</w:t>
      </w:r>
      <w:proofErr w:type="spellEnd"/>
      <w:r>
        <w:t xml:space="preserve"> has a strong network of Clinical </w:t>
      </w:r>
      <w:r w:rsidR="00370F6E">
        <w:t xml:space="preserve">trial sites, Investigators and key opinion leaders. </w:t>
      </w:r>
      <w:proofErr w:type="spellStart"/>
      <w:r w:rsidR="00370F6E">
        <w:t>Clinexel</w:t>
      </w:r>
      <w:proofErr w:type="spellEnd"/>
      <w:r w:rsidR="00370F6E">
        <w:t xml:space="preserve"> has a strong regulatory team and successfully filed several Investigational New Drugs (INDs) and clinical trial applications (CTAs)</w:t>
      </w:r>
      <w:r w:rsidR="00370F6E" w:rsidDel="0037358D">
        <w:t xml:space="preserve"> </w:t>
      </w:r>
    </w:p>
    <w:p w14:paraId="0CEB7BC1" w14:textId="26A20967" w:rsidR="00885633" w:rsidRDefault="00A9710C" w:rsidP="00046531">
      <w:pPr>
        <w:pStyle w:val="Heading3"/>
        <w:spacing w:before="74"/>
        <w:rPr>
          <w:b w:val="0"/>
          <w:sz w:val="16"/>
        </w:rPr>
      </w:pPr>
      <w:r>
        <w:rPr>
          <w:b w:val="0"/>
        </w:rPr>
        <w:br w:type="column"/>
      </w:r>
    </w:p>
    <w:p w14:paraId="1BC58C1D" w14:textId="77777777"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14:paraId="58D6B647" w14:textId="77777777" w:rsidR="00885633" w:rsidRDefault="00885633" w:rsidP="00885633">
      <w:pPr>
        <w:pStyle w:val="ListParagraph"/>
        <w:numPr>
          <w:ilvl w:val="0"/>
          <w:numId w:val="3"/>
        </w:numPr>
        <w:tabs>
          <w:tab w:val="left" w:pos="261"/>
        </w:tabs>
        <w:autoSpaceDE w:val="0"/>
        <w:autoSpaceDN w:val="0"/>
        <w:spacing w:before="9" w:line="230" w:lineRule="auto"/>
        <w:ind w:right="1306"/>
        <w:rPr>
          <w:sz w:val="20"/>
        </w:rPr>
      </w:pPr>
      <w:r>
        <w:rPr>
          <w:noProof/>
          <w:lang w:val="en-GB" w:eastAsia="en-GB"/>
        </w:rPr>
        <w:drawing>
          <wp:anchor distT="0" distB="0" distL="0" distR="0" simplePos="0" relativeHeight="251662336" behindDoc="0" locked="0" layoutInCell="1" allowOverlap="1" wp14:anchorId="0C75CCF1" wp14:editId="1E43ED78">
            <wp:simplePos x="0" y="0"/>
            <wp:positionH relativeFrom="page">
              <wp:posOffset>6438900</wp:posOffset>
            </wp:positionH>
            <wp:positionV relativeFrom="paragraph">
              <wp:posOffset>13604</wp:posOffset>
            </wp:positionV>
            <wp:extent cx="609221" cy="794175"/>
            <wp:effectExtent l="0" t="0" r="0" b="0"/>
            <wp:wrapNone/>
            <wp:docPr id="4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221" cy="794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t xml:space="preserve">Published a book Entitled “Fundamental concept of Pharmacy </w:t>
      </w:r>
      <w:r>
        <w:rPr>
          <w:spacing w:val="-13"/>
          <w:sz w:val="20"/>
        </w:rPr>
        <w:t xml:space="preserve">&amp; </w:t>
      </w:r>
      <w:r>
        <w:rPr>
          <w:sz w:val="20"/>
        </w:rPr>
        <w:t>its Applications”. 2018. Notion Press Publisher, 1st</w:t>
      </w:r>
      <w:r>
        <w:rPr>
          <w:spacing w:val="19"/>
          <w:sz w:val="20"/>
        </w:rPr>
        <w:t xml:space="preserve"> </w:t>
      </w:r>
      <w:r>
        <w:rPr>
          <w:sz w:val="20"/>
        </w:rPr>
        <w:t>Edition.</w:t>
      </w:r>
    </w:p>
    <w:p w14:paraId="401BB5EF" w14:textId="77777777" w:rsidR="00885633" w:rsidRDefault="00885633" w:rsidP="00885633">
      <w:pPr>
        <w:pStyle w:val="ListParagraph"/>
        <w:numPr>
          <w:ilvl w:val="0"/>
          <w:numId w:val="3"/>
        </w:numPr>
        <w:tabs>
          <w:tab w:val="left" w:pos="261"/>
        </w:tabs>
        <w:autoSpaceDE w:val="0"/>
        <w:autoSpaceDN w:val="0"/>
        <w:spacing w:before="11" w:line="242" w:lineRule="auto"/>
        <w:ind w:right="1306"/>
        <w:rPr>
          <w:sz w:val="20"/>
        </w:rPr>
      </w:pPr>
      <w:r>
        <w:rPr>
          <w:sz w:val="20"/>
        </w:rPr>
        <w:t xml:space="preserve">Mahapatra C, et al., Anti-retroviral therapy (ART) regimens </w:t>
      </w:r>
      <w:r>
        <w:rPr>
          <w:spacing w:val="-5"/>
          <w:sz w:val="20"/>
        </w:rPr>
        <w:t xml:space="preserve">and </w:t>
      </w:r>
      <w:r>
        <w:rPr>
          <w:sz w:val="20"/>
        </w:rPr>
        <w:t xml:space="preserve">associated adverse events: A prospective observational study </w:t>
      </w:r>
      <w:proofErr w:type="gramStart"/>
      <w:r>
        <w:rPr>
          <w:spacing w:val="-6"/>
          <w:sz w:val="20"/>
        </w:rPr>
        <w:t xml:space="preserve">in  </w:t>
      </w:r>
      <w:r>
        <w:rPr>
          <w:sz w:val="20"/>
        </w:rPr>
        <w:t>a</w:t>
      </w:r>
      <w:proofErr w:type="gramEnd"/>
      <w:r>
        <w:rPr>
          <w:sz w:val="20"/>
        </w:rPr>
        <w:t xml:space="preserve"> </w:t>
      </w:r>
      <w:r>
        <w:rPr>
          <w:spacing w:val="12"/>
          <w:sz w:val="20"/>
        </w:rPr>
        <w:t xml:space="preserve">tertiary </w:t>
      </w:r>
      <w:r>
        <w:rPr>
          <w:spacing w:val="9"/>
          <w:sz w:val="20"/>
        </w:rPr>
        <w:t xml:space="preserve">care </w:t>
      </w:r>
      <w:r>
        <w:rPr>
          <w:spacing w:val="12"/>
          <w:sz w:val="20"/>
        </w:rPr>
        <w:t xml:space="preserve">hospital </w:t>
      </w:r>
      <w:r>
        <w:rPr>
          <w:spacing w:val="7"/>
          <w:sz w:val="20"/>
        </w:rPr>
        <w:t xml:space="preserve">of </w:t>
      </w:r>
      <w:r>
        <w:rPr>
          <w:spacing w:val="11"/>
          <w:sz w:val="20"/>
        </w:rPr>
        <w:t xml:space="preserve">south </w:t>
      </w:r>
      <w:r>
        <w:rPr>
          <w:spacing w:val="12"/>
          <w:sz w:val="20"/>
        </w:rPr>
        <w:t xml:space="preserve">Odisha. </w:t>
      </w:r>
      <w:r>
        <w:rPr>
          <w:i/>
          <w:spacing w:val="12"/>
          <w:sz w:val="20"/>
        </w:rPr>
        <w:t xml:space="preserve">Journal </w:t>
      </w:r>
      <w:r>
        <w:rPr>
          <w:i/>
          <w:spacing w:val="7"/>
          <w:sz w:val="20"/>
        </w:rPr>
        <w:t xml:space="preserve">of </w:t>
      </w:r>
      <w:r>
        <w:rPr>
          <w:i/>
          <w:sz w:val="20"/>
        </w:rPr>
        <w:t>Pharmacovigilance and Drug Safety</w:t>
      </w:r>
      <w:r>
        <w:rPr>
          <w:sz w:val="20"/>
        </w:rPr>
        <w:t>, 2019; 16(2):</w:t>
      </w:r>
      <w:r>
        <w:rPr>
          <w:spacing w:val="-9"/>
          <w:sz w:val="20"/>
        </w:rPr>
        <w:t xml:space="preserve"> </w:t>
      </w:r>
      <w:r>
        <w:rPr>
          <w:sz w:val="20"/>
        </w:rPr>
        <w:t>8-1.</w:t>
      </w:r>
    </w:p>
    <w:p w14:paraId="22E63378" w14:textId="77777777" w:rsidR="00885633" w:rsidRDefault="00885633" w:rsidP="00885633">
      <w:pPr>
        <w:pStyle w:val="ListParagraph"/>
        <w:numPr>
          <w:ilvl w:val="0"/>
          <w:numId w:val="3"/>
        </w:numPr>
        <w:tabs>
          <w:tab w:val="left" w:pos="261"/>
        </w:tabs>
        <w:autoSpaceDE w:val="0"/>
        <w:autoSpaceDN w:val="0"/>
        <w:spacing w:before="11" w:line="240" w:lineRule="auto"/>
        <w:ind w:right="180"/>
        <w:jc w:val="left"/>
        <w:rPr>
          <w:sz w:val="20"/>
        </w:rPr>
      </w:pPr>
      <w:proofErr w:type="gramStart"/>
      <w:r>
        <w:rPr>
          <w:spacing w:val="4"/>
          <w:sz w:val="20"/>
        </w:rPr>
        <w:t xml:space="preserve">Mahapatra  </w:t>
      </w:r>
      <w:r>
        <w:rPr>
          <w:spacing w:val="2"/>
          <w:sz w:val="20"/>
        </w:rPr>
        <w:t>C</w:t>
      </w:r>
      <w:proofErr w:type="gramEnd"/>
      <w:r>
        <w:rPr>
          <w:spacing w:val="2"/>
          <w:sz w:val="20"/>
        </w:rPr>
        <w:t xml:space="preserve">,  et  </w:t>
      </w:r>
      <w:r>
        <w:rPr>
          <w:spacing w:val="3"/>
          <w:sz w:val="20"/>
        </w:rPr>
        <w:t xml:space="preserve">al.,  </w:t>
      </w:r>
      <w:r>
        <w:rPr>
          <w:spacing w:val="4"/>
          <w:sz w:val="20"/>
        </w:rPr>
        <w:t xml:space="preserve">Preparation  </w:t>
      </w:r>
      <w:r>
        <w:rPr>
          <w:spacing w:val="3"/>
          <w:sz w:val="20"/>
        </w:rPr>
        <w:t xml:space="preserve">and   </w:t>
      </w:r>
      <w:r>
        <w:rPr>
          <w:spacing w:val="4"/>
          <w:sz w:val="20"/>
        </w:rPr>
        <w:t xml:space="preserve">characterization   </w:t>
      </w:r>
      <w:r>
        <w:rPr>
          <w:spacing w:val="2"/>
          <w:sz w:val="20"/>
        </w:rPr>
        <w:t xml:space="preserve">of </w:t>
      </w:r>
      <w:r>
        <w:rPr>
          <w:sz w:val="20"/>
        </w:rPr>
        <w:t>mucoadhesive microcapsules of Paclitaxel. I</w:t>
      </w:r>
      <w:r>
        <w:rPr>
          <w:i/>
          <w:sz w:val="20"/>
        </w:rPr>
        <w:t xml:space="preserve">nternational Journal of </w:t>
      </w:r>
      <w:r>
        <w:rPr>
          <w:i/>
          <w:spacing w:val="-3"/>
          <w:sz w:val="20"/>
        </w:rPr>
        <w:t xml:space="preserve">Research </w:t>
      </w:r>
      <w:r>
        <w:rPr>
          <w:i/>
          <w:sz w:val="20"/>
        </w:rPr>
        <w:t>in Pharmaceutical Sciences</w:t>
      </w:r>
      <w:r>
        <w:rPr>
          <w:sz w:val="20"/>
        </w:rPr>
        <w:t xml:space="preserve">, 2020; 11 (2); 2575-2583. </w:t>
      </w:r>
    </w:p>
    <w:p w14:paraId="2349949B" w14:textId="74513A6A" w:rsidR="00885633" w:rsidRPr="00885633" w:rsidRDefault="00885633" w:rsidP="00885633">
      <w:pPr>
        <w:pStyle w:val="ListParagraph"/>
        <w:numPr>
          <w:ilvl w:val="0"/>
          <w:numId w:val="3"/>
        </w:numPr>
        <w:tabs>
          <w:tab w:val="left" w:pos="261"/>
        </w:tabs>
        <w:autoSpaceDE w:val="0"/>
        <w:autoSpaceDN w:val="0"/>
        <w:spacing w:before="11" w:line="240" w:lineRule="auto"/>
        <w:ind w:right="180"/>
        <w:jc w:val="left"/>
        <w:rPr>
          <w:sz w:val="20"/>
        </w:rPr>
      </w:pPr>
      <w:r w:rsidRPr="00885633">
        <w:rPr>
          <w:sz w:val="20"/>
        </w:rPr>
        <w:t xml:space="preserve">Mahapatra C, et al., Development, characterization and optimization of polymeric mucoadhesive microcapsules containing anticancer agent </w:t>
      </w:r>
      <w:r w:rsidRPr="00885633">
        <w:rPr>
          <w:spacing w:val="-4"/>
          <w:sz w:val="20"/>
        </w:rPr>
        <w:t xml:space="preserve">using </w:t>
      </w:r>
      <w:r w:rsidRPr="00885633">
        <w:rPr>
          <w:sz w:val="20"/>
        </w:rPr>
        <w:t xml:space="preserve">response surface method: in vitro and in vivo </w:t>
      </w:r>
      <w:r w:rsidRPr="00885633">
        <w:rPr>
          <w:spacing w:val="-3"/>
          <w:sz w:val="20"/>
        </w:rPr>
        <w:t xml:space="preserve">study. </w:t>
      </w:r>
      <w:r w:rsidRPr="00885633">
        <w:rPr>
          <w:i/>
          <w:sz w:val="20"/>
        </w:rPr>
        <w:t>International Journal of Research</w:t>
      </w:r>
      <w:r w:rsidRPr="00885633">
        <w:rPr>
          <w:i/>
          <w:spacing w:val="-9"/>
          <w:sz w:val="20"/>
        </w:rPr>
        <w:t xml:space="preserve"> </w:t>
      </w:r>
      <w:r w:rsidRPr="00885633">
        <w:rPr>
          <w:i/>
          <w:sz w:val="20"/>
        </w:rPr>
        <w:t>in</w:t>
      </w:r>
      <w:r w:rsidRPr="00885633">
        <w:rPr>
          <w:i/>
          <w:spacing w:val="-8"/>
          <w:sz w:val="20"/>
        </w:rPr>
        <w:t xml:space="preserve"> </w:t>
      </w:r>
      <w:r w:rsidRPr="00885633">
        <w:rPr>
          <w:i/>
          <w:sz w:val="20"/>
        </w:rPr>
        <w:t>Pharmaceutical</w:t>
      </w:r>
      <w:r w:rsidRPr="00885633">
        <w:rPr>
          <w:i/>
          <w:spacing w:val="-8"/>
          <w:sz w:val="20"/>
        </w:rPr>
        <w:t xml:space="preserve"> </w:t>
      </w:r>
      <w:r w:rsidRPr="00885633">
        <w:rPr>
          <w:i/>
          <w:sz w:val="20"/>
        </w:rPr>
        <w:t>Sciences</w:t>
      </w:r>
      <w:r w:rsidRPr="00885633">
        <w:rPr>
          <w:sz w:val="20"/>
        </w:rPr>
        <w:t>,</w:t>
      </w:r>
      <w:r w:rsidRPr="00885633">
        <w:rPr>
          <w:spacing w:val="-8"/>
          <w:sz w:val="20"/>
        </w:rPr>
        <w:t xml:space="preserve"> </w:t>
      </w:r>
      <w:r w:rsidRPr="00885633">
        <w:rPr>
          <w:sz w:val="20"/>
        </w:rPr>
        <w:t>11(3),</w:t>
      </w:r>
      <w:r w:rsidRPr="00885633">
        <w:rPr>
          <w:spacing w:val="-8"/>
          <w:sz w:val="20"/>
        </w:rPr>
        <w:t xml:space="preserve"> </w:t>
      </w:r>
      <w:r w:rsidRPr="00885633">
        <w:rPr>
          <w:sz w:val="20"/>
        </w:rPr>
        <w:t>3429-3442.</w:t>
      </w:r>
      <w:r w:rsidRPr="00885633">
        <w:rPr>
          <w:spacing w:val="-8"/>
          <w:sz w:val="20"/>
        </w:rPr>
        <w:t xml:space="preserve"> </w:t>
      </w:r>
    </w:p>
    <w:p w14:paraId="72D407E9" w14:textId="70D548F9" w:rsidR="00885633" w:rsidRPr="00885633" w:rsidRDefault="00885633" w:rsidP="00885633">
      <w:pPr>
        <w:pStyle w:val="ListParagraph"/>
        <w:widowControl/>
        <w:numPr>
          <w:ilvl w:val="0"/>
          <w:numId w:val="3"/>
        </w:numPr>
        <w:shd w:val="clear" w:color="auto" w:fill="FFFFFF"/>
        <w:spacing w:before="100" w:beforeAutospacing="1" w:after="100" w:afterAutospacing="1"/>
        <w:rPr>
          <w:rFonts w:ascii="Times New Roman" w:eastAsiaTheme="minorHAnsi" w:hAnsi="Times New Roman" w:cs="Times New Roman"/>
          <w:sz w:val="24"/>
          <w:szCs w:val="24"/>
          <w:lang w:val="en-GB" w:eastAsia="en-GB"/>
        </w:rPr>
      </w:pPr>
      <w:r w:rsidRPr="00885633">
        <w:rPr>
          <w:rFonts w:ascii="TimesNewRoman,Bold" w:eastAsiaTheme="minorHAnsi" w:hAnsi="TimesNewRoman,Bold" w:cs="Times New Roman"/>
          <w:lang w:val="en-GB" w:eastAsia="en-GB"/>
        </w:rPr>
        <w:t xml:space="preserve">Bandana </w:t>
      </w:r>
      <w:proofErr w:type="spellStart"/>
      <w:r w:rsidRPr="00885633">
        <w:rPr>
          <w:rFonts w:ascii="TimesNewRoman,Bold" w:eastAsiaTheme="minorHAnsi" w:hAnsi="TimesNewRoman,Bold" w:cs="Times New Roman"/>
          <w:lang w:val="en-GB" w:eastAsia="en-GB"/>
        </w:rPr>
        <w:t>Rath</w:t>
      </w:r>
      <w:proofErr w:type="spellEnd"/>
      <w:r w:rsidRPr="00885633">
        <w:rPr>
          <w:rFonts w:ascii="TimesNewRoman,Bold" w:eastAsiaTheme="minorHAnsi" w:hAnsi="TimesNewRoman,Bold" w:cs="Times New Roman"/>
          <w:lang w:val="en-GB" w:eastAsia="en-GB"/>
        </w:rPr>
        <w:t xml:space="preserve"> &amp; Chinmaya Mahapatra</w:t>
      </w:r>
      <w:r w:rsidRPr="00885633">
        <w:rPr>
          <w:rFonts w:ascii="TimesNewRoman,BoldItalic" w:eastAsiaTheme="minorHAnsi" w:hAnsi="TimesNewRoman,BoldItalic" w:cs="Times New Roman"/>
          <w:lang w:val="en-GB" w:eastAsia="en-GB"/>
        </w:rPr>
        <w:t xml:space="preserve">., </w:t>
      </w:r>
      <w:r w:rsidRPr="00885633">
        <w:rPr>
          <w:rFonts w:ascii="TimesNewRoman,Bold" w:eastAsiaTheme="minorHAnsi" w:hAnsi="TimesNewRoman,Bold" w:cs="Times New Roman"/>
          <w:lang w:val="en-GB" w:eastAsia="en-GB"/>
        </w:rPr>
        <w:t xml:space="preserve">Sch. J. App. Med. Sci., Nov, 2018; 6(11): 4179-4182 </w:t>
      </w:r>
    </w:p>
    <w:p w14:paraId="3621773F" w14:textId="77777777" w:rsidR="00AE3E37" w:rsidRPr="008756E6" w:rsidRDefault="00AE3E37" w:rsidP="008756E6">
      <w:pPr>
        <w:tabs>
          <w:tab w:val="left" w:pos="384"/>
        </w:tabs>
        <w:ind w:right="117"/>
      </w:pPr>
    </w:p>
    <w:p w14:paraId="3CE86E59" w14:textId="77777777" w:rsidR="00AE3E37" w:rsidRDefault="00AE3E37">
      <w:pPr>
        <w:spacing w:line="200" w:lineRule="exact"/>
        <w:jc w:val="both"/>
        <w:rPr>
          <w:rFonts w:ascii="Calibri" w:hAnsi="Calibri"/>
        </w:rPr>
        <w:sectPr w:rsidR="00AE3E37" w:rsidSect="008E5477">
          <w:type w:val="continuous"/>
          <w:pgSz w:w="11910" w:h="16840"/>
          <w:pgMar w:top="995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bookmarkStart w:id="0" w:name="_GoBack"/>
      <w:bookmarkEnd w:id="0"/>
    </w:p>
    <w:p w14:paraId="3BDE2A98" w14:textId="77777777" w:rsidR="00AE3E37" w:rsidRDefault="00AE3E37">
      <w:pPr>
        <w:pStyle w:val="BodyText"/>
        <w:rPr>
          <w:rFonts w:ascii="Calibri"/>
          <w:sz w:val="20"/>
        </w:rPr>
      </w:pPr>
    </w:p>
    <w:p w14:paraId="5514D006" w14:textId="77777777" w:rsidR="00AE3E37" w:rsidRDefault="00651853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GB" w:eastAsia="en-GB"/>
        </w:rPr>
        <mc:AlternateContent>
          <mc:Choice Requires="wpg">
            <w:drawing>
              <wp:inline distT="0" distB="0" distL="0" distR="0" wp14:anchorId="217D3634" wp14:editId="5B953338">
                <wp:extent cx="3975735" cy="25400"/>
                <wp:effectExtent l="0" t="0" r="0" b="0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0F09782B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14:paraId="1A7D68F9" w14:textId="77777777" w:rsidR="00AE3E37" w:rsidRDefault="00651853" w:rsidP="00404E5B">
      <w:pPr>
        <w:spacing w:before="92"/>
        <w:ind w:right="4234"/>
        <w:rPr>
          <w:rFonts w:ascii="Arial"/>
        </w:rPr>
      </w:pPr>
      <w:r>
        <w:rPr>
          <w:rFonts w:ascii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5DACC61" wp14:editId="35DF6155">
                <wp:simplePos x="0" y="0"/>
                <wp:positionH relativeFrom="column">
                  <wp:posOffset>5655945</wp:posOffset>
                </wp:positionH>
                <wp:positionV relativeFrom="paragraph">
                  <wp:posOffset>56515</wp:posOffset>
                </wp:positionV>
                <wp:extent cx="1012190" cy="570230"/>
                <wp:effectExtent l="19050" t="19050" r="16510" b="20320"/>
                <wp:wrapNone/>
                <wp:docPr id="2" name="Rounded 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12190" cy="5702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9BBB59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205B914" w14:textId="77777777" w:rsidR="00A52075" w:rsidRDefault="00E054C8" w:rsidP="00A52075">
                            <w:pPr>
                              <w:rPr>
                                <w:b/>
                                <w:color w:val="0000FF"/>
                                <w:lang w:val="en-IN"/>
                              </w:rPr>
                            </w:pPr>
                            <w:r>
                              <w:rPr>
                                <w:b/>
                                <w:noProof/>
                                <w:color w:val="0000FF"/>
                                <w:lang w:val="en-GB" w:eastAsia="en-GB"/>
                              </w:rPr>
                              <w:drawing>
                                <wp:inline distT="0" distB="0" distL="0" distR="0" wp14:anchorId="3C83F771" wp14:editId="2DB8720F">
                                  <wp:extent cx="767517" cy="476250"/>
                                  <wp:effectExtent l="0" t="0" r="0" b="6350"/>
                                  <wp:docPr id="3" name="Picture 3" descr="../Desktop/Clinexel%20LOGO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../Desktop/Clinexel%20LOGO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-10701" t="26758" r="-1" b="29702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48371" cy="52642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05DACC61" id="Rounded Rectangle 2" o:spid="_x0000_s1026" style="position:absolute;margin-left:445.35pt;margin-top:4.45pt;width:79.7pt;height:44.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" strokecolor="#9bbb59" strokeweight="2.5pt">
                <v:shadow color="#868686"/>
                <v:textbox>
                  <w:txbxContent>
                    <w:p w14:paraId="7205B914" w14:textId="77777777" w:rsidR="00A52075" w:rsidRDefault="00E054C8" w:rsidP="00A52075">
                      <w:pPr>
                        <w:rPr>
                          <w:b/>
                          <w:color w:val="0000FF"/>
                          <w:lang w:val="en-IN"/>
                        </w:rPr>
                      </w:pPr>
                      <w:r>
                        <w:rPr>
                          <w:b/>
                          <w:noProof/>
                          <w:color w:val="0000FF"/>
                          <w:lang w:val="en-GB" w:eastAsia="en-GB"/>
                        </w:rPr>
                        <w:drawing>
                          <wp:inline distT="0" distB="0" distL="0" distR="0" wp14:anchorId="3C83F771" wp14:editId="2DB8720F">
                            <wp:extent cx="767517" cy="476250"/>
                            <wp:effectExtent l="0" t="0" r="0" b="6350"/>
                            <wp:docPr id="3" name="Picture 3" descr="../Desktop/Clinexel%20LOGO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../Desktop/Clinexel%20LOGO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-10701" t="26758" r="-1" b="29702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848371" cy="52642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oundrect>
            </w:pict>
          </mc:Fallback>
        </mc:AlternateContent>
      </w:r>
      <w:r w:rsidR="008756E6">
        <w:rPr>
          <w:noProof/>
          <w:lang w:val="en-GB" w:eastAsia="en-GB"/>
        </w:rPr>
        <w:drawing>
          <wp:inline distT="0" distB="0" distL="0" distR="0" wp14:anchorId="55A5C747" wp14:editId="53DAE0FC">
            <wp:extent cx="625069" cy="625069"/>
            <wp:effectExtent l="0" t="0" r="10160" b="1016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</w:t>
      </w:r>
      <w:proofErr w:type="gramStart"/>
      <w:r w:rsidR="00404E5B">
        <w:rPr>
          <w:rFonts w:ascii="Arial"/>
          <w:color w:val="BF5A14"/>
        </w:rPr>
        <w:t>150 word</w:t>
      </w:r>
      <w:proofErr w:type="gramEnd"/>
      <w:r w:rsidR="00404E5B">
        <w:rPr>
          <w:rFonts w:ascii="Arial"/>
          <w:color w:val="BF5A14"/>
        </w:rPr>
        <w:t xml:space="preserve"> limit)</w:t>
      </w:r>
    </w:p>
    <w:p w14:paraId="5830D66C" w14:textId="77777777" w:rsidR="00AE3E37" w:rsidRDefault="00E054C8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 xml:space="preserve">Dr. Chinmaya Mahapatra, completed his masters and </w:t>
      </w:r>
      <w:proofErr w:type="spellStart"/>
      <w:proofErr w:type="gramStart"/>
      <w:r>
        <w:rPr>
          <w:rFonts w:ascii="Arial"/>
          <w:sz w:val="14"/>
        </w:rPr>
        <w:t>Ph.D</w:t>
      </w:r>
      <w:proofErr w:type="spellEnd"/>
      <w:proofErr w:type="gramEnd"/>
      <w:r>
        <w:rPr>
          <w:rFonts w:ascii="Arial"/>
          <w:sz w:val="14"/>
        </w:rPr>
        <w:t xml:space="preserve"> in Pharmacy</w:t>
      </w:r>
      <w:r w:rsidR="00A9710C">
        <w:rPr>
          <w:rFonts w:ascii="Arial"/>
          <w:sz w:val="14"/>
        </w:rPr>
        <w:t>.</w:t>
      </w:r>
      <w:r>
        <w:rPr>
          <w:rFonts w:ascii="Arial"/>
          <w:sz w:val="14"/>
        </w:rPr>
        <w:t xml:space="preserve"> He is the founder president of Global Pharmacovigilance Society and Editor-in-chief of Journal of Pharmacovigilance and drug research. Currently he is working as an independent consultant for </w:t>
      </w:r>
      <w:proofErr w:type="spellStart"/>
      <w:r>
        <w:rPr>
          <w:rFonts w:ascii="Arial"/>
          <w:sz w:val="14"/>
        </w:rPr>
        <w:t>Clinexel</w:t>
      </w:r>
      <w:proofErr w:type="spellEnd"/>
      <w:r>
        <w:rPr>
          <w:rFonts w:ascii="Arial"/>
          <w:sz w:val="14"/>
        </w:rPr>
        <w:t xml:space="preserve"> Life </w:t>
      </w:r>
      <w:proofErr w:type="gramStart"/>
      <w:r>
        <w:rPr>
          <w:rFonts w:ascii="Arial"/>
          <w:sz w:val="14"/>
        </w:rPr>
        <w:t>sciences</w:t>
      </w:r>
      <w:proofErr w:type="gramEnd"/>
      <w:r>
        <w:rPr>
          <w:rFonts w:ascii="Arial"/>
          <w:sz w:val="14"/>
        </w:rPr>
        <w:t xml:space="preserve"> Pvt. Ltd. and ADR monitoring Center Co-</w:t>
      </w:r>
      <w:proofErr w:type="spellStart"/>
      <w:r>
        <w:rPr>
          <w:rFonts w:ascii="Arial"/>
          <w:sz w:val="14"/>
        </w:rPr>
        <w:t>ordinator</w:t>
      </w:r>
      <w:proofErr w:type="spellEnd"/>
      <w:r>
        <w:rPr>
          <w:rFonts w:ascii="Arial"/>
          <w:sz w:val="14"/>
        </w:rPr>
        <w:t xml:space="preserve"> at IMT Pharmacy College </w:t>
      </w:r>
      <w:proofErr w:type="spellStart"/>
      <w:r>
        <w:rPr>
          <w:rFonts w:ascii="Arial"/>
          <w:sz w:val="14"/>
        </w:rPr>
        <w:t>Puri</w:t>
      </w:r>
      <w:proofErr w:type="spellEnd"/>
      <w:r>
        <w:rPr>
          <w:rFonts w:ascii="Arial"/>
          <w:sz w:val="14"/>
        </w:rPr>
        <w:t xml:space="preserve">, IPC- </w:t>
      </w:r>
      <w:proofErr w:type="spellStart"/>
      <w:r>
        <w:rPr>
          <w:rFonts w:ascii="Arial"/>
          <w:sz w:val="14"/>
        </w:rPr>
        <w:t>PvPI</w:t>
      </w:r>
      <w:proofErr w:type="spellEnd"/>
      <w:r>
        <w:rPr>
          <w:rFonts w:ascii="Arial"/>
          <w:sz w:val="14"/>
        </w:rPr>
        <w:t xml:space="preserve">, Govt. of India. Dr. Mahapatra is having </w:t>
      </w:r>
      <w:r w:rsidR="00C60DDC">
        <w:rPr>
          <w:rFonts w:ascii="Arial"/>
          <w:sz w:val="14"/>
        </w:rPr>
        <w:t xml:space="preserve">more than 10 </w:t>
      </w:r>
      <w:r>
        <w:rPr>
          <w:rFonts w:ascii="Arial"/>
          <w:sz w:val="14"/>
        </w:rPr>
        <w:t>years of experience in Pharmaceutical companies</w:t>
      </w:r>
      <w:r w:rsidR="00C60DDC">
        <w:rPr>
          <w:rFonts w:ascii="Arial"/>
          <w:sz w:val="14"/>
        </w:rPr>
        <w:t xml:space="preserve">, Clinical research and pharmacovigilance. He has worked for </w:t>
      </w:r>
      <w:proofErr w:type="spellStart"/>
      <w:r w:rsidR="00C60DDC">
        <w:rPr>
          <w:rFonts w:ascii="Arial"/>
          <w:sz w:val="14"/>
        </w:rPr>
        <w:t>Ciron</w:t>
      </w:r>
      <w:proofErr w:type="spellEnd"/>
      <w:r w:rsidR="00C60DDC">
        <w:rPr>
          <w:rFonts w:ascii="Arial"/>
          <w:sz w:val="14"/>
        </w:rPr>
        <w:t xml:space="preserve"> Drugs, Mumbai, </w:t>
      </w:r>
      <w:proofErr w:type="spellStart"/>
      <w:r w:rsidR="00C60DDC">
        <w:rPr>
          <w:rFonts w:ascii="Arial"/>
          <w:sz w:val="14"/>
        </w:rPr>
        <w:t>Ipca</w:t>
      </w:r>
      <w:proofErr w:type="spellEnd"/>
      <w:r w:rsidR="00C60DDC">
        <w:rPr>
          <w:rFonts w:ascii="Arial"/>
          <w:sz w:val="14"/>
        </w:rPr>
        <w:t xml:space="preserve"> Laboratories Ltd, </w:t>
      </w:r>
      <w:proofErr w:type="spellStart"/>
      <w:r w:rsidR="00C60DDC">
        <w:rPr>
          <w:rFonts w:ascii="Arial"/>
          <w:sz w:val="14"/>
        </w:rPr>
        <w:t>Silvassa</w:t>
      </w:r>
      <w:proofErr w:type="spellEnd"/>
      <w:r w:rsidR="00C60DDC">
        <w:rPr>
          <w:rFonts w:ascii="Arial"/>
          <w:sz w:val="14"/>
        </w:rPr>
        <w:t xml:space="preserve"> as QA officer and Indian Pharmacopoeia Commission as Pharmacovigilance Associate. </w:t>
      </w:r>
    </w:p>
    <w:p w14:paraId="649ECF63" w14:textId="77777777"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2" w:history="1">
        <w:r w:rsidR="00C60DDC">
          <w:rPr>
            <w:rStyle w:val="Hyperlink"/>
            <w:rFonts w:ascii="Arial"/>
            <w:sz w:val="14"/>
          </w:rPr>
          <w:t>drchinmaya212@g</w:t>
        </w:r>
        <w:r w:rsidR="008756E6" w:rsidRPr="00616076">
          <w:rPr>
            <w:rStyle w:val="Hyperlink"/>
            <w:rFonts w:ascii="Arial"/>
            <w:sz w:val="14"/>
          </w:rPr>
          <w:t>mail.com</w:t>
        </w:r>
      </w:hyperlink>
    </w:p>
    <w:p w14:paraId="3B870738" w14:textId="77777777" w:rsidR="00AE3E37" w:rsidRDefault="00651853">
      <w:pPr>
        <w:pStyle w:val="BodyText"/>
        <w:spacing w:before="2"/>
        <w:rPr>
          <w:rFonts w:ascii="Arial"/>
          <w:sz w:val="19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4294967295" distB="4294967295" distL="0" distR="0" simplePos="0" relativeHeight="1072" behindDoc="0" locked="0" layoutInCell="1" allowOverlap="1" wp14:anchorId="0EF5F67F" wp14:editId="0CFE1C8A">
                <wp:simplePos x="0" y="0"/>
                <wp:positionH relativeFrom="page">
                  <wp:posOffset>2058670</wp:posOffset>
                </wp:positionH>
                <wp:positionV relativeFrom="paragraph">
                  <wp:posOffset>168274</wp:posOffset>
                </wp:positionV>
                <wp:extent cx="3442335" cy="0"/>
                <wp:effectExtent l="0" t="0" r="24765" b="19050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03AB70EF" id="Line 3" o:spid="_x0000_s1026" style="position:absolute;z-index:1072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" strokecolor="#004080" strokeweight=".5pt">
                <w10:wrap type="topAndBottom" anchorx="page"/>
              </v:line>
            </w:pict>
          </mc:Fallback>
        </mc:AlternateContent>
      </w:r>
    </w:p>
    <w:p w14:paraId="7D102235" w14:textId="77777777" w:rsidR="00E1070B" w:rsidRDefault="00E1070B" w:rsidP="00E1070B">
      <w:pPr>
        <w:spacing w:before="39"/>
        <w:ind w:left="100"/>
        <w:rPr>
          <w:rFonts w:ascii="Minion Pro"/>
          <w:b/>
          <w:sz w:val="20"/>
        </w:rPr>
      </w:pPr>
    </w:p>
    <w:p w14:paraId="6EFD4F6D" w14:textId="77777777" w:rsidR="00E1070B" w:rsidRDefault="00E1070B" w:rsidP="00E1070B">
      <w:pPr>
        <w:spacing w:before="39"/>
        <w:ind w:left="100"/>
        <w:rPr>
          <w:rFonts w:ascii="Minion Pro"/>
          <w:b/>
          <w:sz w:val="20"/>
        </w:rPr>
      </w:pPr>
    </w:p>
    <w:p w14:paraId="06DCF253" w14:textId="77777777" w:rsidR="00E1070B" w:rsidRDefault="00E1070B" w:rsidP="00E1070B">
      <w:pPr>
        <w:spacing w:before="39"/>
        <w:ind w:left="100"/>
        <w:rPr>
          <w:rFonts w:ascii="Minion Pro"/>
          <w:b/>
          <w:sz w:val="20"/>
        </w:rPr>
      </w:pPr>
    </w:p>
    <w:p w14:paraId="6FF23A3E" w14:textId="4BA7BD25" w:rsidR="00AE3E37" w:rsidRPr="00E1070B" w:rsidRDefault="00A9710C" w:rsidP="00E1070B">
      <w:pPr>
        <w:spacing w:before="39"/>
        <w:ind w:left="100"/>
        <w:rPr>
          <w:rFonts w:ascii="Minion Pro"/>
          <w:b/>
          <w:sz w:val="20"/>
        </w:rPr>
        <w:sectPr w:rsidR="00AE3E37" w:rsidRPr="00E1070B" w:rsidSect="008E5477">
          <w:type w:val="continuous"/>
          <w:pgSz w:w="11910" w:h="16840"/>
          <w:pgMar w:top="995" w:right="600" w:bottom="840" w:left="620" w:header="720" w:footer="720" w:gutter="0"/>
          <w:cols w:space="720"/>
        </w:sectPr>
      </w:pPr>
      <w:r w:rsidRPr="00B21A57">
        <w:rPr>
          <w:rFonts w:ascii="Minion Pro"/>
          <w:b/>
          <w:sz w:val="20"/>
        </w:rPr>
        <w:t>Notes/Comments:</w:t>
      </w:r>
    </w:p>
    <w:p w14:paraId="3AB1596E" w14:textId="77777777" w:rsidR="00F046EA" w:rsidRPr="0013708E" w:rsidRDefault="00F046EA" w:rsidP="00F046EA">
      <w:pPr>
        <w:jc w:val="both"/>
        <w:rPr>
          <w:b/>
        </w:rPr>
      </w:pPr>
      <w:r w:rsidRPr="0013708E">
        <w:rPr>
          <w:b/>
        </w:rPr>
        <w:lastRenderedPageBreak/>
        <w:t xml:space="preserve">Presenting author details </w:t>
      </w:r>
    </w:p>
    <w:p w14:paraId="40C0A302" w14:textId="6B3ADAB5" w:rsidR="00F046EA" w:rsidRPr="0013708E" w:rsidRDefault="00F046EA" w:rsidP="00F046EA">
      <w:pPr>
        <w:jc w:val="both"/>
      </w:pPr>
      <w:r w:rsidRPr="0013708E">
        <w:t xml:space="preserve">Full name: </w:t>
      </w:r>
      <w:r w:rsidR="00885633">
        <w:t>Chinmaya Mahapatra</w:t>
      </w:r>
    </w:p>
    <w:p w14:paraId="393A5998" w14:textId="4BE548AA" w:rsidR="00F046EA" w:rsidRDefault="00F046EA" w:rsidP="00F046EA">
      <w:pPr>
        <w:jc w:val="both"/>
      </w:pPr>
      <w:r w:rsidRPr="0013708E">
        <w:t>Contact number:</w:t>
      </w:r>
      <w:r w:rsidR="00885633">
        <w:t xml:space="preserve"> +919337504500</w:t>
      </w:r>
    </w:p>
    <w:p w14:paraId="0E8BFC35" w14:textId="362185CA" w:rsidR="00F046EA" w:rsidRPr="0013708E" w:rsidRDefault="00F046EA" w:rsidP="00F046EA">
      <w:pPr>
        <w:jc w:val="both"/>
      </w:pPr>
      <w:r>
        <w:t xml:space="preserve">Mail id: </w:t>
      </w:r>
      <w:r w:rsidR="00885633">
        <w:t>drchinmaya212@gmail.com</w:t>
      </w:r>
    </w:p>
    <w:p w14:paraId="2B572485" w14:textId="77777777" w:rsidR="00AE3E37" w:rsidRDefault="00F046EA" w:rsidP="00017FD0">
      <w:pPr>
        <w:jc w:val="both"/>
        <w:rPr>
          <w:rFonts w:ascii="Minion Pro"/>
          <w:sz w:val="26"/>
        </w:rPr>
      </w:pPr>
      <w:r w:rsidRPr="0013708E">
        <w:t>Category: (Oral presentation/ Poster presentation)</w:t>
      </w:r>
    </w:p>
    <w:sectPr w:rsidR="00AE3E37" w:rsidSect="00F046EA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D94EACB" w14:textId="77777777" w:rsidR="007E4740" w:rsidRDefault="007E4740">
      <w:r>
        <w:separator/>
      </w:r>
    </w:p>
  </w:endnote>
  <w:endnote w:type="continuationSeparator" w:id="0">
    <w:p w14:paraId="0BFFBB08" w14:textId="77777777" w:rsidR="007E4740" w:rsidRDefault="007E4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w Cen MT">
    <w:panose1 w:val="020B0602020104020603"/>
    <w:charset w:val="00"/>
    <w:family w:val="auto"/>
    <w:pitch w:val="variable"/>
    <w:sig w:usb0="00000003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Impact">
    <w:panose1 w:val="020B0806030902050204"/>
    <w:charset w:val="00"/>
    <w:family w:val="auto"/>
    <w:pitch w:val="variable"/>
    <w:sig w:usb0="00000287" w:usb1="00000000" w:usb2="00000000" w:usb3="00000000" w:csb0="0000009F" w:csb1="00000000"/>
  </w:font>
  <w:font w:name="TimesNewRoman,Bold">
    <w:altName w:val="Times New Roman"/>
    <w:panose1 w:val="00000000000000000000"/>
    <w:charset w:val="00"/>
    <w:family w:val="roman"/>
    <w:notTrueType/>
    <w:pitch w:val="default"/>
  </w:font>
  <w:font w:name="TimesNewRoman,BoldItalic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4625170" w14:textId="77777777" w:rsidR="00AE3E37" w:rsidRDefault="00651853">
    <w:pPr>
      <w:pStyle w:val="BodyText"/>
      <w:spacing w:line="14" w:lineRule="auto"/>
      <w:rPr>
        <w:sz w:val="20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22133F28" wp14:editId="576AB00E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0" r="16510" b="1778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7FC7248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4AB8FCE9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22133F28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" filled="f" stroked="f">
              <v:textbox inset="0,0,0,0">
                <w:txbxContent>
                  <w:p w14:paraId="17FC7248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4AB8FCE9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ISSN: 2167-0846 JPAR an open access journa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32F0F0B6" wp14:editId="604F57F9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0" t="0" r="13970" b="698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6007E04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6BEF4B59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32F0F0B6" id="Text Box 2" o:spid="_x0000_s1028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" filled="f" stroked="f">
              <v:textbox inset="0,0,0,0">
                <w:txbxContent>
                  <w:p w14:paraId="56007E04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6BEF4B59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5EEECDD6" wp14:editId="0A5B778B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0" t="0" r="1270" b="1206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833977C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14:paraId="2E4752CE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5EEECDD6" id="Text Box 1" o:spid="_x0000_s1029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" filled="f" stroked="f">
              <v:textbox inset="0,0,0,0">
                <w:txbxContent>
                  <w:p w14:paraId="3833977C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2E4752CE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552AEAB" w14:textId="77777777" w:rsidR="007E4740" w:rsidRDefault="007E4740">
      <w:r>
        <w:separator/>
      </w:r>
    </w:p>
  </w:footnote>
  <w:footnote w:type="continuationSeparator" w:id="0">
    <w:p w14:paraId="6879A26D" w14:textId="77777777" w:rsidR="007E4740" w:rsidRDefault="007E47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34600B16"/>
    <w:multiLevelType w:val="hybridMultilevel"/>
    <w:tmpl w:val="F5485772"/>
    <w:lvl w:ilvl="0" w:tplc="03566C86">
      <w:numFmt w:val="bullet"/>
      <w:lvlText w:val="•"/>
      <w:lvlJc w:val="left"/>
      <w:pPr>
        <w:ind w:left="260" w:hanging="160"/>
      </w:pPr>
      <w:rPr>
        <w:rFonts w:ascii="Arial" w:eastAsia="Arial" w:hAnsi="Arial" w:cs="Arial" w:hint="default"/>
        <w:w w:val="99"/>
        <w:position w:val="-1"/>
        <w:sz w:val="20"/>
        <w:szCs w:val="20"/>
        <w:lang w:val="en-US" w:eastAsia="en-US" w:bidi="ar-SA"/>
      </w:rPr>
    </w:lvl>
    <w:lvl w:ilvl="1" w:tplc="B1EA017A">
      <w:numFmt w:val="bullet"/>
      <w:lvlText w:val="•"/>
      <w:lvlJc w:val="left"/>
      <w:pPr>
        <w:ind w:left="920" w:hanging="200"/>
      </w:pPr>
      <w:rPr>
        <w:rFonts w:ascii="Arial" w:eastAsia="Arial" w:hAnsi="Arial" w:cs="Arial" w:hint="default"/>
        <w:w w:val="99"/>
        <w:position w:val="-1"/>
        <w:sz w:val="20"/>
        <w:szCs w:val="20"/>
        <w:lang w:val="en-US" w:eastAsia="en-US" w:bidi="ar-SA"/>
      </w:rPr>
    </w:lvl>
    <w:lvl w:ilvl="2" w:tplc="F04E847E">
      <w:numFmt w:val="bullet"/>
      <w:lvlText w:val="•"/>
      <w:lvlJc w:val="left"/>
      <w:pPr>
        <w:ind w:left="1640" w:hanging="200"/>
      </w:pPr>
      <w:rPr>
        <w:rFonts w:hint="default"/>
        <w:lang w:val="en-US" w:eastAsia="en-US" w:bidi="ar-SA"/>
      </w:rPr>
    </w:lvl>
    <w:lvl w:ilvl="3" w:tplc="3FC84334">
      <w:numFmt w:val="bullet"/>
      <w:lvlText w:val="•"/>
      <w:lvlJc w:val="left"/>
      <w:pPr>
        <w:ind w:left="2361" w:hanging="200"/>
      </w:pPr>
      <w:rPr>
        <w:rFonts w:hint="default"/>
        <w:lang w:val="en-US" w:eastAsia="en-US" w:bidi="ar-SA"/>
      </w:rPr>
    </w:lvl>
    <w:lvl w:ilvl="4" w:tplc="7D663A64">
      <w:numFmt w:val="bullet"/>
      <w:lvlText w:val="•"/>
      <w:lvlJc w:val="left"/>
      <w:pPr>
        <w:ind w:left="3082" w:hanging="200"/>
      </w:pPr>
      <w:rPr>
        <w:rFonts w:hint="default"/>
        <w:lang w:val="en-US" w:eastAsia="en-US" w:bidi="ar-SA"/>
      </w:rPr>
    </w:lvl>
    <w:lvl w:ilvl="5" w:tplc="8D1AA346">
      <w:numFmt w:val="bullet"/>
      <w:lvlText w:val="•"/>
      <w:lvlJc w:val="left"/>
      <w:pPr>
        <w:ind w:left="3802" w:hanging="200"/>
      </w:pPr>
      <w:rPr>
        <w:rFonts w:hint="default"/>
        <w:lang w:val="en-US" w:eastAsia="en-US" w:bidi="ar-SA"/>
      </w:rPr>
    </w:lvl>
    <w:lvl w:ilvl="6" w:tplc="67D6DE20">
      <w:numFmt w:val="bullet"/>
      <w:lvlText w:val="•"/>
      <w:lvlJc w:val="left"/>
      <w:pPr>
        <w:ind w:left="4523" w:hanging="200"/>
      </w:pPr>
      <w:rPr>
        <w:rFonts w:hint="default"/>
        <w:lang w:val="en-US" w:eastAsia="en-US" w:bidi="ar-SA"/>
      </w:rPr>
    </w:lvl>
    <w:lvl w:ilvl="7" w:tplc="FFF64F0A">
      <w:numFmt w:val="bullet"/>
      <w:lvlText w:val="•"/>
      <w:lvlJc w:val="left"/>
      <w:pPr>
        <w:ind w:left="5244" w:hanging="200"/>
      </w:pPr>
      <w:rPr>
        <w:rFonts w:hint="default"/>
        <w:lang w:val="en-US" w:eastAsia="en-US" w:bidi="ar-SA"/>
      </w:rPr>
    </w:lvl>
    <w:lvl w:ilvl="8" w:tplc="CBAE759C">
      <w:numFmt w:val="bullet"/>
      <w:lvlText w:val="•"/>
      <w:lvlJc w:val="left"/>
      <w:pPr>
        <w:ind w:left="5964" w:hanging="200"/>
      </w:pPr>
      <w:rPr>
        <w:rFonts w:hint="default"/>
        <w:lang w:val="en-US" w:eastAsia="en-US" w:bidi="ar-SA"/>
      </w:rPr>
    </w:lvl>
  </w:abstractNum>
  <w:abstractNum w:abstractNumId="2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17FD0"/>
    <w:rsid w:val="00046531"/>
    <w:rsid w:val="000E2911"/>
    <w:rsid w:val="001070CB"/>
    <w:rsid w:val="001263DF"/>
    <w:rsid w:val="00235E8A"/>
    <w:rsid w:val="00241E22"/>
    <w:rsid w:val="00292ED9"/>
    <w:rsid w:val="002A399E"/>
    <w:rsid w:val="00351D9B"/>
    <w:rsid w:val="00370F6E"/>
    <w:rsid w:val="0037358D"/>
    <w:rsid w:val="00380299"/>
    <w:rsid w:val="00404E5B"/>
    <w:rsid w:val="00414F7B"/>
    <w:rsid w:val="004355DC"/>
    <w:rsid w:val="004749B4"/>
    <w:rsid w:val="00494130"/>
    <w:rsid w:val="004F3523"/>
    <w:rsid w:val="00517B75"/>
    <w:rsid w:val="005973B9"/>
    <w:rsid w:val="005B3A56"/>
    <w:rsid w:val="006060CE"/>
    <w:rsid w:val="0061505C"/>
    <w:rsid w:val="0063497F"/>
    <w:rsid w:val="00651853"/>
    <w:rsid w:val="00714354"/>
    <w:rsid w:val="007E4740"/>
    <w:rsid w:val="00873DF0"/>
    <w:rsid w:val="008756E6"/>
    <w:rsid w:val="00885633"/>
    <w:rsid w:val="00897EC5"/>
    <w:rsid w:val="008C0549"/>
    <w:rsid w:val="008E0C36"/>
    <w:rsid w:val="008E142D"/>
    <w:rsid w:val="008E5477"/>
    <w:rsid w:val="008F0B3B"/>
    <w:rsid w:val="00943544"/>
    <w:rsid w:val="009B2D44"/>
    <w:rsid w:val="00A07E82"/>
    <w:rsid w:val="00A52075"/>
    <w:rsid w:val="00A9710C"/>
    <w:rsid w:val="00AE3E37"/>
    <w:rsid w:val="00B21A57"/>
    <w:rsid w:val="00C33602"/>
    <w:rsid w:val="00C56C74"/>
    <w:rsid w:val="00C60DDC"/>
    <w:rsid w:val="00CD6F55"/>
    <w:rsid w:val="00CE0E21"/>
    <w:rsid w:val="00CF63BB"/>
    <w:rsid w:val="00D31ACA"/>
    <w:rsid w:val="00DE3104"/>
    <w:rsid w:val="00DE6170"/>
    <w:rsid w:val="00E054C8"/>
    <w:rsid w:val="00E1070B"/>
    <w:rsid w:val="00E30AAC"/>
    <w:rsid w:val="00E95D97"/>
    <w:rsid w:val="00F046EA"/>
    <w:rsid w:val="00F051CC"/>
    <w:rsid w:val="00F72EEA"/>
    <w:rsid w:val="00F7399E"/>
    <w:rsid w:val="00F84CAE"/>
    <w:rsid w:val="00FA41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1E61E7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8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885633"/>
    <w:rPr>
      <w:rFonts w:ascii="Times New Roman" w:hAnsi="Times New Roman" w:cs="Times New Roman"/>
      <w:sz w:val="24"/>
      <w:szCs w:val="24"/>
    </w:rPr>
  </w:style>
  <w:style w:type="paragraph" w:styleId="Revision">
    <w:name w:val="Revision"/>
    <w:hidden/>
    <w:uiPriority w:val="99"/>
    <w:semiHidden/>
    <w:rsid w:val="00046531"/>
    <w:pPr>
      <w:widowControl/>
    </w:pPr>
    <w:rPr>
      <w:rFonts w:ascii="Tw Cen MT" w:eastAsia="Tw Cen MT" w:hAnsi="Tw Cen MT" w:cs="Tw Cen 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9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36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184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167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753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7269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8803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3.png"/><Relationship Id="rId12" Type="http://schemas.openxmlformats.org/officeDocument/2006/relationships/hyperlink" Target="mailto:drXXXXXXX@xxxmail.com" TargetMode="Externa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footer" Target="footer1.xml"/><Relationship Id="rId8" Type="http://schemas.openxmlformats.org/officeDocument/2006/relationships/image" Target="media/image1.jpeg"/><Relationship Id="rId9" Type="http://schemas.openxmlformats.org/officeDocument/2006/relationships/image" Target="media/image2.jpeg"/><Relationship Id="rId10" Type="http://schemas.openxmlformats.org/officeDocument/2006/relationships/image" Target="media/image2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596</Words>
  <Characters>3398</Characters>
  <Application>Microsoft Macintosh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Microsoft account</cp:lastModifiedBy>
  <cp:revision>5</cp:revision>
  <dcterms:created xsi:type="dcterms:W3CDTF">2022-06-23T09:58:00Z</dcterms:created>
  <dcterms:modified xsi:type="dcterms:W3CDTF">2022-06-23T11:40:00Z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