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</w:pPr>
      <w:r>
        <w:rPr/>
        <w:t>Identification of antigenic properties of </w:t>
      </w:r>
      <w:r>
        <w:rPr>
          <w:i/>
        </w:rPr>
        <w:t>Acinetobacter baumannii</w:t>
      </w:r>
      <w:r>
        <w:rPr>
          <w:i/>
          <w:spacing w:val="-77"/>
        </w:rPr>
        <w:t> </w:t>
      </w:r>
      <w:r>
        <w:rPr/>
        <w:t>proteins as novel putative vaccine candidates using Reverse</w:t>
      </w:r>
      <w:r>
        <w:rPr>
          <w:spacing w:val="1"/>
        </w:rPr>
        <w:t> </w:t>
      </w:r>
      <w:r>
        <w:rPr/>
        <w:t>vaccinology</w:t>
      </w:r>
      <w:r>
        <w:rPr>
          <w:spacing w:val="1"/>
        </w:rPr>
        <w:t> </w:t>
      </w:r>
      <w:r>
        <w:rPr/>
        <w:t>approach</w:t>
      </w:r>
    </w:p>
    <w:p>
      <w:pPr>
        <w:pStyle w:val="BodyText"/>
        <w:spacing w:before="1"/>
        <w:rPr>
          <w:b/>
          <w:sz w:val="21"/>
        </w:rPr>
      </w:pPr>
      <w:r>
        <w:rPr/>
        <w:drawing>
          <wp:anchor distT="0" distB="0" distL="0" distR="0" allowOverlap="1" layoutInCell="1" locked="0" behindDoc="0" simplePos="0" relativeHeight="0">
            <wp:simplePos x="0" y="0"/>
            <wp:positionH relativeFrom="page">
              <wp:posOffset>946150</wp:posOffset>
            </wp:positionH>
            <wp:positionV relativeFrom="paragraph">
              <wp:posOffset>179002</wp:posOffset>
            </wp:positionV>
            <wp:extent cx="3162808" cy="3162300"/>
            <wp:effectExtent l="0" t="0" r="0" b="0"/>
            <wp:wrapTopAndBottom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62808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39pt;margin-top:79.854691pt;width:198.75pt;height:144.9pt;mso-position-horizontal-relative:page;mso-position-vertical-relative:paragraph;z-index:-15728128;mso-wrap-distance-left:0;mso-wrap-distance-right:0" type="#_x0000_t202" filled="false" stroked="true" strokeweight=".75pt" strokecolor="#000000">
            <v:textbox inset="0,0,0,0">
              <w:txbxContent>
                <w:p>
                  <w:pPr>
                    <w:spacing w:before="72"/>
                    <w:ind w:left="145" w:right="0" w:firstLine="0"/>
                    <w:jc w:val="both"/>
                    <w:rPr>
                      <w:b/>
                      <w:sz w:val="28"/>
                    </w:rPr>
                  </w:pPr>
                  <w:r>
                    <w:rPr>
                      <w:b/>
                      <w:sz w:val="28"/>
                    </w:rPr>
                    <w:t>Tohid</w:t>
                  </w:r>
                  <w:r>
                    <w:rPr>
                      <w:b/>
                      <w:spacing w:val="-4"/>
                      <w:sz w:val="28"/>
                    </w:rPr>
                    <w:t> </w:t>
                  </w:r>
                  <w:r>
                    <w:rPr>
                      <w:b/>
                      <w:sz w:val="28"/>
                    </w:rPr>
                    <w:t>Piri-Gharaghie</w:t>
                  </w:r>
                </w:p>
                <w:p>
                  <w:pPr>
                    <w:pStyle w:val="BodyText"/>
                    <w:spacing w:before="8"/>
                    <w:rPr>
                      <w:b/>
                      <w:sz w:val="29"/>
                    </w:rPr>
                  </w:pPr>
                </w:p>
                <w:p>
                  <w:pPr>
                    <w:spacing w:before="0"/>
                    <w:ind w:left="145" w:right="0" w:firstLine="0"/>
                    <w:jc w:val="both"/>
                    <w:rPr>
                      <w:sz w:val="20"/>
                    </w:rPr>
                  </w:pPr>
                  <w:r>
                    <w:rPr>
                      <w:sz w:val="20"/>
                    </w:rPr>
                    <w:t>Professor,</w:t>
                  </w:r>
                  <w:r>
                    <w:rPr>
                      <w:spacing w:val="-10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Biotechnology</w:t>
                  </w:r>
                  <w:r>
                    <w:rPr>
                      <w:spacing w:val="-1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Research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Center,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East</w:t>
                  </w:r>
                  <w:r>
                    <w:rPr>
                      <w:spacing w:val="-4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Tehran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Branch,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Islamic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Azad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University,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Tehran</w:t>
                  </w:r>
                  <w:r>
                    <w:rPr>
                      <w:spacing w:val="-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Branch,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Tehran,</w:t>
                  </w:r>
                  <w:r>
                    <w:rPr>
                      <w:spacing w:val="-1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Iran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and</w:t>
                  </w:r>
                  <w:r>
                    <w:rPr>
                      <w:spacing w:val="-9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Biotechnology</w:t>
                  </w:r>
                  <w:r>
                    <w:rPr>
                      <w:spacing w:val="-48"/>
                      <w:sz w:val="20"/>
                    </w:rPr>
                    <w:t> </w:t>
                  </w:r>
                  <w:r>
                    <w:rPr>
                      <w:sz w:val="20"/>
                    </w:rPr>
                    <w:t>Research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Center,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Microbial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Biotechnology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Laboratory, BIO3P and VetCare company of</w:t>
                  </w:r>
                  <w:r>
                    <w:rPr>
                      <w:spacing w:val="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AmitisGen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Med TECH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Group,</w:t>
                  </w:r>
                  <w:r>
                    <w:rPr>
                      <w:spacing w:val="-2"/>
                      <w:sz w:val="20"/>
                    </w:rPr>
                    <w:t> </w:t>
                  </w:r>
                  <w:r>
                    <w:rPr>
                      <w:sz w:val="20"/>
                    </w:rPr>
                    <w:t>Tehran,</w:t>
                  </w:r>
                  <w:r>
                    <w:rPr>
                      <w:spacing w:val="-1"/>
                      <w:sz w:val="20"/>
                    </w:rPr>
                    <w:t> </w:t>
                  </w:r>
                  <w:r>
                    <w:rPr>
                      <w:sz w:val="20"/>
                    </w:rPr>
                    <w:t>Iran.</w:t>
                  </w:r>
                </w:p>
                <w:p>
                  <w:pPr>
                    <w:spacing w:before="12"/>
                    <w:ind w:left="145" w:right="0" w:firstLine="0"/>
                    <w:jc w:val="both"/>
                    <w:rPr>
                      <w:sz w:val="20"/>
                    </w:rPr>
                  </w:pPr>
                  <w:r>
                    <w:rPr>
                      <w:b/>
                      <w:sz w:val="20"/>
                    </w:rPr>
                    <w:t>Email:</w:t>
                  </w:r>
                  <w:r>
                    <w:rPr>
                      <w:b/>
                      <w:spacing w:val="-3"/>
                      <w:sz w:val="20"/>
                    </w:rPr>
                    <w:t> </w:t>
                  </w:r>
                  <w:hyperlink r:id="rId6">
                    <w:r>
                      <w:rPr>
                        <w:color w:val="0462C1"/>
                        <w:sz w:val="20"/>
                        <w:u w:val="single" w:color="0462C1"/>
                      </w:rPr>
                      <w:t>tohidpirie@yahoo.com</w:t>
                    </w:r>
                  </w:hyperlink>
                </w:p>
              </w:txbxContent>
            </v:textbox>
            <v:stroke dashstyle="solid"/>
            <w10:wrap type="topAndBottom"/>
          </v:shape>
        </w:pict>
      </w:r>
    </w:p>
    <w:p>
      <w:pPr>
        <w:pStyle w:val="BodyText"/>
        <w:spacing w:before="5"/>
        <w:rPr>
          <w:b/>
          <w:sz w:val="49"/>
        </w:rPr>
      </w:pPr>
    </w:p>
    <w:p>
      <w:pPr>
        <w:spacing w:before="0"/>
        <w:ind w:left="100" w:right="0" w:firstLine="0"/>
        <w:jc w:val="left"/>
        <w:rPr>
          <w:b/>
          <w:sz w:val="24"/>
        </w:rPr>
      </w:pPr>
      <w:r>
        <w:rPr>
          <w:b/>
          <w:sz w:val="24"/>
        </w:rPr>
        <w:t>Abstract</w:t>
      </w:r>
    </w:p>
    <w:p>
      <w:pPr>
        <w:pStyle w:val="BodyText"/>
        <w:spacing w:line="312" w:lineRule="auto" w:before="206"/>
        <w:ind w:left="100" w:right="109"/>
        <w:jc w:val="both"/>
      </w:pPr>
      <w:r>
        <w:rPr/>
        <w:t>Multidrug-resistant </w:t>
      </w:r>
      <w:r>
        <w:rPr>
          <w:i/>
        </w:rPr>
        <w:t>Acinetobacter baumannii </w:t>
      </w:r>
      <w:r>
        <w:rPr/>
        <w:t>(</w:t>
      </w:r>
      <w:r>
        <w:rPr>
          <w:i/>
        </w:rPr>
        <w:t>A.baumannii</w:t>
      </w:r>
      <w:r>
        <w:rPr/>
        <w:t>) infections are becoming more prevalent all</w:t>
      </w:r>
      <w:r>
        <w:rPr>
          <w:spacing w:val="1"/>
        </w:rPr>
        <w:t> </w:t>
      </w:r>
      <w:r>
        <w:rPr/>
        <w:t>over the world. As a cost-effective and preventative method, vaccination seems to be required against this</w:t>
      </w:r>
      <w:r>
        <w:rPr>
          <w:spacing w:val="-52"/>
        </w:rPr>
        <w:t> </w:t>
      </w:r>
      <w:r>
        <w:rPr/>
        <w:t>bacterium. In the present study, subtractive proteomics along with reverse vaccinology approaches was</w:t>
      </w:r>
      <w:r>
        <w:rPr>
          <w:spacing w:val="1"/>
        </w:rPr>
        <w:t> </w:t>
      </w:r>
      <w:r>
        <w:rPr/>
        <w:t>used to predict suitable therapeutics against </w:t>
      </w:r>
      <w:r>
        <w:rPr>
          <w:i/>
        </w:rPr>
        <w:t>A.baumannii</w:t>
      </w:r>
      <w:r>
        <w:rPr/>
        <w:t>. Using the Vaxign online tool, we studied over</w:t>
      </w:r>
      <w:r>
        <w:rPr>
          <w:spacing w:val="1"/>
        </w:rPr>
        <w:t> </w:t>
      </w:r>
      <w:r>
        <w:rPr/>
        <w:t>35</w:t>
      </w:r>
      <w:r>
        <w:rPr>
          <w:spacing w:val="-7"/>
        </w:rPr>
        <w:t> </w:t>
      </w:r>
      <w:r>
        <w:rPr/>
        <w:t>genomes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i/>
        </w:rPr>
        <w:t>A.baumannii</w:t>
      </w:r>
      <w:r>
        <w:rPr>
          <w:i/>
          <w:spacing w:val="-4"/>
        </w:rPr>
        <w:t> </w:t>
      </w:r>
      <w:r>
        <w:rPr/>
        <w:t>strains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chose</w:t>
      </w:r>
      <w:r>
        <w:rPr>
          <w:spacing w:val="-6"/>
        </w:rPr>
        <w:t> </w:t>
      </w:r>
      <w:r>
        <w:rPr/>
        <w:t>outer</w:t>
      </w:r>
      <w:r>
        <w:rPr>
          <w:spacing w:val="-8"/>
        </w:rPr>
        <w:t> </w:t>
      </w:r>
      <w:r>
        <w:rPr/>
        <w:t>membrane</w:t>
      </w:r>
      <w:r>
        <w:rPr>
          <w:spacing w:val="-8"/>
        </w:rPr>
        <w:t> </w:t>
      </w:r>
      <w:r>
        <w:rPr/>
        <w:t>and</w:t>
      </w:r>
      <w:r>
        <w:rPr>
          <w:spacing w:val="-8"/>
        </w:rPr>
        <w:t> </w:t>
      </w:r>
      <w:r>
        <w:rPr/>
        <w:t>secreted</w:t>
      </w:r>
      <w:r>
        <w:rPr>
          <w:spacing w:val="-6"/>
        </w:rPr>
        <w:t> </w:t>
      </w:r>
      <w:r>
        <w:rPr/>
        <w:t>proteins</w:t>
      </w:r>
      <w:r>
        <w:rPr>
          <w:spacing w:val="-5"/>
        </w:rPr>
        <w:t> </w:t>
      </w:r>
      <w:r>
        <w:rPr/>
        <w:t>of</w:t>
      </w:r>
      <w:r>
        <w:rPr>
          <w:spacing w:val="-5"/>
        </w:rPr>
        <w:t> </w:t>
      </w:r>
      <w:r>
        <w:rPr>
          <w:i/>
        </w:rPr>
        <w:t>A.baumannii</w:t>
      </w:r>
      <w:r>
        <w:rPr>
          <w:i/>
          <w:spacing w:val="-5"/>
        </w:rPr>
        <w:t> </w:t>
      </w:r>
      <w:r>
        <w:rPr/>
        <w:t>1656-</w:t>
      </w:r>
      <w:r>
        <w:rPr>
          <w:spacing w:val="-52"/>
        </w:rPr>
        <w:t> </w:t>
      </w:r>
      <w:r>
        <w:rPr/>
        <w:t>2 as possible vaccine candidates. Then, investigations were performed on the immunogenicity, antigenic</w:t>
      </w:r>
      <w:r>
        <w:rPr>
          <w:spacing w:val="1"/>
        </w:rPr>
        <w:t> </w:t>
      </w:r>
      <w:r>
        <w:rPr/>
        <w:t>characteristics, physicochemical properties, B-cell and MHC class I, and MHC class II molecules epitope</w:t>
      </w:r>
      <w:r>
        <w:rPr>
          <w:spacing w:val="1"/>
        </w:rPr>
        <w:t> </w:t>
      </w:r>
      <w:r>
        <w:rPr/>
        <w:t>densities of proteins. After optimizing the codon of the proteins, the pcDNA3.1(+) expression construct</w:t>
      </w:r>
      <w:r>
        <w:rPr>
          <w:spacing w:val="1"/>
        </w:rPr>
        <w:t> </w:t>
      </w:r>
      <w:r>
        <w:rPr/>
        <w:t>was</w:t>
      </w:r>
      <w:r>
        <w:rPr>
          <w:spacing w:val="1"/>
        </w:rPr>
        <w:t> </w:t>
      </w:r>
      <w:r>
        <w:rPr/>
        <w:t>designed</w:t>
      </w:r>
      <w:r>
        <w:rPr>
          <w:spacing w:val="1"/>
        </w:rPr>
        <w:t> </w:t>
      </w:r>
      <w:r>
        <w:rPr/>
        <w:t>and the</w:t>
      </w:r>
      <w:r>
        <w:rPr>
          <w:spacing w:val="1"/>
        </w:rPr>
        <w:t> </w:t>
      </w:r>
      <w:r>
        <w:rPr/>
        <w:t>immunogenicity, allergenicity, and</w:t>
      </w:r>
      <w:r>
        <w:rPr>
          <w:spacing w:val="1"/>
        </w:rPr>
        <w:t> </w:t>
      </w:r>
      <w:r>
        <w:rPr/>
        <w:t>physicochemical</w:t>
      </w:r>
      <w:r>
        <w:rPr>
          <w:spacing w:val="1"/>
        </w:rPr>
        <w:t> </w:t>
      </w:r>
      <w:r>
        <w:rPr/>
        <w:t>properties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the</w:t>
      </w:r>
      <w:r>
        <w:rPr>
          <w:spacing w:val="1"/>
        </w:rPr>
        <w:t> </w:t>
      </w:r>
      <w:r>
        <w:rPr/>
        <w:t>vaccine</w:t>
      </w:r>
      <w:r>
        <w:rPr>
          <w:spacing w:val="1"/>
        </w:rPr>
        <w:t> </w:t>
      </w:r>
      <w:r>
        <w:rPr/>
        <w:t>construct were predicted. Hcp and OmpC proteins were predicted as extracellular and outer membrane</w:t>
      </w:r>
      <w:r>
        <w:rPr>
          <w:spacing w:val="1"/>
        </w:rPr>
        <w:t> </w:t>
      </w:r>
      <w:r>
        <w:rPr/>
        <w:t>proteins,</w:t>
      </w:r>
      <w:r>
        <w:rPr>
          <w:spacing w:val="1"/>
        </w:rPr>
        <w:t> </w:t>
      </w:r>
      <w:r>
        <w:rPr/>
        <w:t>respectively.</w:t>
      </w:r>
      <w:r>
        <w:rPr>
          <w:spacing w:val="1"/>
        </w:rPr>
        <w:t> </w:t>
      </w:r>
      <w:r>
        <w:rPr/>
        <w:t>These</w:t>
      </w:r>
      <w:r>
        <w:rPr>
          <w:spacing w:val="1"/>
        </w:rPr>
        <w:t> </w:t>
      </w:r>
      <w:r>
        <w:rPr/>
        <w:t>proteins</w:t>
      </w:r>
      <w:r>
        <w:rPr>
          <w:spacing w:val="1"/>
        </w:rPr>
        <w:t> </w:t>
      </w:r>
      <w:r>
        <w:rPr/>
        <w:t>interact</w:t>
      </w:r>
      <w:r>
        <w:rPr>
          <w:spacing w:val="1"/>
        </w:rPr>
        <w:t> </w:t>
      </w:r>
      <w:r>
        <w:rPr/>
        <w:t>with</w:t>
      </w:r>
      <w:r>
        <w:rPr>
          <w:spacing w:val="1"/>
        </w:rPr>
        <w:t> </w:t>
      </w:r>
      <w:r>
        <w:rPr/>
        <w:t>10</w:t>
      </w:r>
      <w:r>
        <w:rPr>
          <w:spacing w:val="1"/>
        </w:rPr>
        <w:t> </w:t>
      </w:r>
      <w:r>
        <w:rPr/>
        <w:t>other</w:t>
      </w:r>
      <w:r>
        <w:rPr>
          <w:spacing w:val="1"/>
        </w:rPr>
        <w:t> </w:t>
      </w:r>
      <w:r>
        <w:rPr/>
        <w:t>proteins</w:t>
      </w:r>
      <w:r>
        <w:rPr>
          <w:spacing w:val="1"/>
        </w:rPr>
        <w:t> </w:t>
      </w:r>
      <w:r>
        <w:rPr/>
        <w:t>to</w:t>
      </w:r>
      <w:r>
        <w:rPr>
          <w:spacing w:val="1"/>
        </w:rPr>
        <w:t> </w:t>
      </w:r>
      <w:r>
        <w:rPr/>
        <w:t>form</w:t>
      </w:r>
      <w:r>
        <w:rPr>
          <w:spacing w:val="1"/>
        </w:rPr>
        <w:t> </w:t>
      </w:r>
      <w:r>
        <w:rPr/>
        <w:t>a</w:t>
      </w:r>
      <w:r>
        <w:rPr>
          <w:spacing w:val="1"/>
        </w:rPr>
        <w:t> </w:t>
      </w:r>
      <w:r>
        <w:rPr/>
        <w:t>network</w:t>
      </w:r>
      <w:r>
        <w:rPr>
          <w:spacing w:val="1"/>
        </w:rPr>
        <w:t> </w:t>
      </w:r>
      <w:r>
        <w:rPr/>
        <w:t>of</w:t>
      </w:r>
      <w:r>
        <w:rPr>
          <w:spacing w:val="1"/>
        </w:rPr>
        <w:t> </w:t>
      </w:r>
      <w:r>
        <w:rPr/>
        <w:t>protein</w:t>
      </w:r>
      <w:r>
        <w:rPr>
          <w:spacing w:val="1"/>
        </w:rPr>
        <w:t> </w:t>
      </w:r>
      <w:r>
        <w:rPr/>
        <w:t>interactions</w:t>
      </w:r>
      <w:r>
        <w:rPr>
          <w:spacing w:val="9"/>
        </w:rPr>
        <w:t> </w:t>
      </w:r>
      <w:r>
        <w:rPr/>
        <w:t>with</w:t>
      </w:r>
      <w:r>
        <w:rPr>
          <w:spacing w:val="12"/>
        </w:rPr>
        <w:t> </w:t>
      </w:r>
      <w:r>
        <w:rPr/>
        <w:t>virulence</w:t>
      </w:r>
      <w:r>
        <w:rPr>
          <w:spacing w:val="10"/>
        </w:rPr>
        <w:t> </w:t>
      </w:r>
      <w:r>
        <w:rPr/>
        <w:t>properties.</w:t>
      </w:r>
      <w:r>
        <w:rPr>
          <w:spacing w:val="12"/>
        </w:rPr>
        <w:t> </w:t>
      </w:r>
      <w:r>
        <w:rPr/>
        <w:t>Immunoassays</w:t>
      </w:r>
      <w:r>
        <w:rPr>
          <w:spacing w:val="10"/>
        </w:rPr>
        <w:t> </w:t>
      </w:r>
      <w:r>
        <w:rPr/>
        <w:t>of</w:t>
      </w:r>
      <w:r>
        <w:rPr>
          <w:spacing w:val="13"/>
        </w:rPr>
        <w:t> </w:t>
      </w:r>
      <w:r>
        <w:rPr/>
        <w:t>Hcp</w:t>
      </w:r>
      <w:r>
        <w:rPr>
          <w:spacing w:val="10"/>
        </w:rPr>
        <w:t> </w:t>
      </w:r>
      <w:r>
        <w:rPr/>
        <w:t>and</w:t>
      </w:r>
      <w:r>
        <w:rPr>
          <w:spacing w:val="10"/>
        </w:rPr>
        <w:t> </w:t>
      </w:r>
      <w:r>
        <w:rPr/>
        <w:t>OmpC</w:t>
      </w:r>
      <w:r>
        <w:rPr>
          <w:spacing w:val="9"/>
        </w:rPr>
        <w:t> </w:t>
      </w:r>
      <w:r>
        <w:rPr/>
        <w:t>proteins</w:t>
      </w:r>
      <w:r>
        <w:rPr>
          <w:spacing w:val="10"/>
        </w:rPr>
        <w:t> </w:t>
      </w:r>
      <w:r>
        <w:rPr/>
        <w:t>showed</w:t>
      </w:r>
      <w:r>
        <w:rPr>
          <w:spacing w:val="9"/>
        </w:rPr>
        <w:t> </w:t>
      </w:r>
      <w:r>
        <w:rPr/>
        <w:t>antigenicity</w:t>
      </w:r>
      <w:r>
        <w:rPr>
          <w:spacing w:val="12"/>
        </w:rPr>
        <w:t> </w:t>
      </w:r>
      <w:r>
        <w:rPr/>
        <w:t>of</w:t>
      </w:r>
    </w:p>
    <w:p>
      <w:pPr>
        <w:pStyle w:val="BodyText"/>
        <w:spacing w:line="312" w:lineRule="auto"/>
        <w:ind w:left="100" w:right="115"/>
        <w:jc w:val="both"/>
      </w:pPr>
      <w:r>
        <w:rPr/>
        <w:t>0.88 and 0.79, respectively. These proteins have 5 structural cell epitope points and 5 linear B epitope</w:t>
      </w:r>
      <w:r>
        <w:rPr>
          <w:spacing w:val="1"/>
        </w:rPr>
        <w:t> </w:t>
      </w:r>
      <w:r>
        <w:rPr/>
        <w:t>points. They are also able to bind to different HLA alleles of</w:t>
      </w:r>
      <w:r>
        <w:rPr>
          <w:spacing w:val="1"/>
        </w:rPr>
        <w:t> </w:t>
      </w:r>
      <w:r>
        <w:rPr>
          <w:i/>
        </w:rPr>
        <w:t>MCH- class I</w:t>
      </w:r>
      <w:r>
        <w:rPr>
          <w:i/>
          <w:spacing w:val="1"/>
        </w:rPr>
        <w:t> </w:t>
      </w:r>
      <w:r>
        <w:rPr/>
        <w:t>/</w:t>
      </w:r>
      <w:r>
        <w:rPr>
          <w:spacing w:val="1"/>
        </w:rPr>
        <w:t> </w:t>
      </w:r>
      <w:r>
        <w:rPr>
          <w:i/>
        </w:rPr>
        <w:t>class </w:t>
      </w:r>
      <w:r>
        <w:rPr/>
        <w:t>II as selected</w:t>
      </w:r>
      <w:r>
        <w:rPr>
          <w:spacing w:val="1"/>
        </w:rPr>
        <w:t> </w:t>
      </w:r>
      <w:r>
        <w:rPr/>
        <w:t>immunogenic</w:t>
      </w:r>
      <w:r>
        <w:rPr>
          <w:spacing w:val="-10"/>
        </w:rPr>
        <w:t> </w:t>
      </w:r>
      <w:r>
        <w:rPr/>
        <w:t>proteins</w:t>
      </w:r>
      <w:r>
        <w:rPr>
          <w:spacing w:val="-11"/>
        </w:rPr>
        <w:t> </w:t>
      </w:r>
      <w:r>
        <w:rPr/>
        <w:t>and</w:t>
      </w:r>
      <w:r>
        <w:rPr>
          <w:spacing w:val="-12"/>
        </w:rPr>
        <w:t> </w:t>
      </w:r>
      <w:r>
        <w:rPr/>
        <w:t>designed</w:t>
      </w:r>
      <w:r>
        <w:rPr>
          <w:spacing w:val="-12"/>
        </w:rPr>
        <w:t> </w:t>
      </w:r>
      <w:r>
        <w:rPr/>
        <w:t>non-allergenic</w:t>
      </w:r>
      <w:r>
        <w:rPr>
          <w:spacing w:val="-12"/>
        </w:rPr>
        <w:t> </w:t>
      </w:r>
      <w:r>
        <w:rPr/>
        <w:t>structures</w:t>
      </w:r>
      <w:r>
        <w:rPr>
          <w:spacing w:val="-11"/>
        </w:rPr>
        <w:t> </w:t>
      </w:r>
      <w:r>
        <w:rPr/>
        <w:t>with</w:t>
      </w:r>
      <w:r>
        <w:rPr>
          <w:spacing w:val="-10"/>
        </w:rPr>
        <w:t> </w:t>
      </w:r>
      <w:r>
        <w:rPr/>
        <w:t>Solubility</w:t>
      </w:r>
      <w:r>
        <w:rPr>
          <w:spacing w:val="-12"/>
        </w:rPr>
        <w:t> </w:t>
      </w:r>
      <w:r>
        <w:rPr/>
        <w:t>of</w:t>
      </w:r>
      <w:r>
        <w:rPr>
          <w:spacing w:val="-11"/>
        </w:rPr>
        <w:t> </w:t>
      </w:r>
      <w:r>
        <w:rPr/>
        <w:t>0.650</w:t>
      </w:r>
      <w:r>
        <w:rPr>
          <w:spacing w:val="-10"/>
        </w:rPr>
        <w:t> </w:t>
      </w:r>
      <w:r>
        <w:rPr/>
        <w:t>and</w:t>
      </w:r>
      <w:r>
        <w:rPr>
          <w:spacing w:val="-12"/>
        </w:rPr>
        <w:t> </w:t>
      </w:r>
      <w:r>
        <w:rPr/>
        <w:t>immunogenicity</w:t>
      </w:r>
      <w:r>
        <w:rPr>
          <w:spacing w:val="-52"/>
        </w:rPr>
        <w:t> </w:t>
      </w:r>
      <w:r>
        <w:rPr/>
        <w:t>score of 0.91. The results of “In-Silico” of this study indicate high specificity and the development of a</w:t>
      </w:r>
      <w:r>
        <w:rPr>
          <w:spacing w:val="1"/>
        </w:rPr>
        <w:t> </w:t>
      </w:r>
      <w:r>
        <w:rPr>
          <w:spacing w:val="-1"/>
        </w:rPr>
        <w:t>significant</w:t>
      </w:r>
      <w:r>
        <w:rPr>
          <w:spacing w:val="-11"/>
        </w:rPr>
        <w:t> </w:t>
      </w:r>
      <w:r>
        <w:rPr>
          <w:spacing w:val="-1"/>
        </w:rPr>
        <w:t>humoral</w:t>
      </w:r>
      <w:r>
        <w:rPr>
          <w:spacing w:val="-11"/>
        </w:rPr>
        <w:t> </w:t>
      </w:r>
      <w:r>
        <w:rPr/>
        <w:t>and</w:t>
      </w:r>
      <w:r>
        <w:rPr>
          <w:spacing w:val="-11"/>
        </w:rPr>
        <w:t> </w:t>
      </w:r>
      <w:r>
        <w:rPr/>
        <w:t>cellular</w:t>
      </w:r>
      <w:r>
        <w:rPr>
          <w:spacing w:val="-14"/>
        </w:rPr>
        <w:t> </w:t>
      </w:r>
      <w:r>
        <w:rPr/>
        <w:t>immune</w:t>
      </w:r>
      <w:r>
        <w:rPr>
          <w:spacing w:val="-12"/>
        </w:rPr>
        <w:t> </w:t>
      </w:r>
      <w:r>
        <w:rPr/>
        <w:t>response.</w:t>
      </w:r>
      <w:r>
        <w:rPr>
          <w:spacing w:val="-11"/>
        </w:rPr>
        <w:t> </w:t>
      </w:r>
      <w:r>
        <w:rPr/>
        <w:t>It</w:t>
      </w:r>
      <w:r>
        <w:rPr>
          <w:spacing w:val="-11"/>
        </w:rPr>
        <w:t> </w:t>
      </w:r>
      <w:r>
        <w:rPr/>
        <w:t>can</w:t>
      </w:r>
      <w:r>
        <w:rPr>
          <w:spacing w:val="-11"/>
        </w:rPr>
        <w:t> </w:t>
      </w:r>
      <w:r>
        <w:rPr/>
        <w:t>be</w:t>
      </w:r>
      <w:r>
        <w:rPr>
          <w:spacing w:val="-12"/>
        </w:rPr>
        <w:t> </w:t>
      </w:r>
      <w:r>
        <w:rPr/>
        <w:t>concluded</w:t>
      </w:r>
      <w:r>
        <w:rPr>
          <w:spacing w:val="-12"/>
        </w:rPr>
        <w:t> </w:t>
      </w:r>
      <w:r>
        <w:rPr/>
        <w:t>that</w:t>
      </w:r>
      <w:r>
        <w:rPr>
          <w:spacing w:val="-13"/>
        </w:rPr>
        <w:t> </w:t>
      </w:r>
      <w:r>
        <w:rPr/>
        <w:t>the</w:t>
      </w:r>
      <w:r>
        <w:rPr>
          <w:spacing w:val="-12"/>
        </w:rPr>
        <w:t> </w:t>
      </w:r>
      <w:r>
        <w:rPr/>
        <w:t>Hcp</w:t>
      </w:r>
      <w:r>
        <w:rPr>
          <w:spacing w:val="-13"/>
        </w:rPr>
        <w:t> </w:t>
      </w:r>
      <w:r>
        <w:rPr/>
        <w:t>and</w:t>
      </w:r>
      <w:r>
        <w:rPr>
          <w:spacing w:val="-12"/>
        </w:rPr>
        <w:t> </w:t>
      </w:r>
      <w:r>
        <w:rPr/>
        <w:t>OmpC</w:t>
      </w:r>
      <w:r>
        <w:rPr>
          <w:spacing w:val="-13"/>
        </w:rPr>
        <w:t> </w:t>
      </w:r>
      <w:r>
        <w:rPr/>
        <w:t>dual</w:t>
      </w:r>
      <w:r>
        <w:rPr>
          <w:spacing w:val="-10"/>
        </w:rPr>
        <w:t> </w:t>
      </w:r>
      <w:r>
        <w:rPr/>
        <w:t>vaccine</w:t>
      </w:r>
    </w:p>
    <w:p>
      <w:pPr>
        <w:spacing w:after="0" w:line="312" w:lineRule="auto"/>
        <w:jc w:val="both"/>
        <w:sectPr>
          <w:type w:val="continuous"/>
          <w:pgSz w:w="12240" w:h="15840"/>
          <w:pgMar w:top="1380" w:bottom="280" w:left="1340" w:right="1320"/>
        </w:sectPr>
      </w:pPr>
    </w:p>
    <w:p>
      <w:pPr>
        <w:pStyle w:val="BodyText"/>
        <w:spacing w:line="312" w:lineRule="auto" w:before="61"/>
        <w:ind w:left="100" w:right="113"/>
        <w:jc w:val="both"/>
      </w:pPr>
      <w:r>
        <w:rPr/>
        <w:t>construct is one of the promising candidates against </w:t>
      </w:r>
      <w:r>
        <w:rPr>
          <w:i/>
        </w:rPr>
        <w:t>A.baumannii</w:t>
      </w:r>
      <w:r>
        <w:rPr/>
        <w:t>. The findings of this "In-Silico" study</w:t>
      </w:r>
      <w:r>
        <w:rPr>
          <w:spacing w:val="1"/>
        </w:rPr>
        <w:t> </w:t>
      </w:r>
      <w:r>
        <w:rPr/>
        <w:t>show excellent specificity and the emergence of a substantial humoral and cellular immune response. This</w:t>
      </w:r>
      <w:r>
        <w:rPr>
          <w:spacing w:val="-52"/>
        </w:rPr>
        <w:t> </w:t>
      </w:r>
      <w:r>
        <w:rPr/>
        <w:t>is a computer-based study that needs to be tested in vitro and in vivo to corroborate the conclusions of the</w:t>
      </w:r>
      <w:r>
        <w:rPr>
          <w:spacing w:val="1"/>
        </w:rPr>
        <w:t> </w:t>
      </w:r>
      <w:r>
        <w:rPr/>
        <w:t>vaccine</w:t>
      </w:r>
      <w:r>
        <w:rPr>
          <w:spacing w:val="-1"/>
        </w:rPr>
        <w:t> </w:t>
      </w:r>
      <w:r>
        <w:rPr/>
        <w:t>design procedures.</w:t>
      </w:r>
    </w:p>
    <w:p>
      <w:pPr>
        <w:spacing w:before="120"/>
        <w:ind w:left="100" w:right="0" w:firstLine="0"/>
        <w:jc w:val="both"/>
        <w:rPr>
          <w:sz w:val="22"/>
        </w:rPr>
      </w:pPr>
      <w:r>
        <w:rPr>
          <w:b/>
          <w:sz w:val="22"/>
        </w:rPr>
        <w:t>Keywords:</w:t>
      </w:r>
      <w:r>
        <w:rPr>
          <w:b/>
          <w:spacing w:val="-2"/>
          <w:sz w:val="22"/>
        </w:rPr>
        <w:t> </w:t>
      </w:r>
      <w:r>
        <w:rPr>
          <w:sz w:val="22"/>
        </w:rPr>
        <w:t>Vaccine</w:t>
      </w:r>
      <w:r>
        <w:rPr>
          <w:spacing w:val="-3"/>
          <w:sz w:val="22"/>
        </w:rPr>
        <w:t> </w:t>
      </w:r>
      <w:r>
        <w:rPr>
          <w:sz w:val="22"/>
        </w:rPr>
        <w:t>candidates;</w:t>
      </w:r>
      <w:r>
        <w:rPr>
          <w:spacing w:val="-1"/>
          <w:sz w:val="22"/>
        </w:rPr>
        <w:t> </w:t>
      </w:r>
      <w:r>
        <w:rPr>
          <w:i/>
          <w:sz w:val="22"/>
        </w:rPr>
        <w:t>A.</w:t>
      </w:r>
      <w:r>
        <w:rPr>
          <w:i/>
          <w:spacing w:val="-3"/>
          <w:sz w:val="22"/>
        </w:rPr>
        <w:t> </w:t>
      </w:r>
      <w:r>
        <w:rPr>
          <w:i/>
          <w:sz w:val="22"/>
        </w:rPr>
        <w:t>baumannii</w:t>
      </w:r>
      <w:r>
        <w:rPr>
          <w:sz w:val="22"/>
        </w:rPr>
        <w:t>;</w:t>
      </w:r>
      <w:r>
        <w:rPr>
          <w:spacing w:val="-2"/>
          <w:sz w:val="22"/>
        </w:rPr>
        <w:t> </w:t>
      </w:r>
      <w:r>
        <w:rPr>
          <w:sz w:val="22"/>
        </w:rPr>
        <w:t>Reverse</w:t>
      </w:r>
      <w:r>
        <w:rPr>
          <w:spacing w:val="-3"/>
          <w:sz w:val="22"/>
        </w:rPr>
        <w:t> </w:t>
      </w:r>
      <w:r>
        <w:rPr>
          <w:sz w:val="22"/>
        </w:rPr>
        <w:t>vaccinology;</w:t>
      </w:r>
      <w:r>
        <w:rPr>
          <w:spacing w:val="-1"/>
          <w:sz w:val="22"/>
        </w:rPr>
        <w:t> </w:t>
      </w:r>
      <w:r>
        <w:rPr>
          <w:sz w:val="22"/>
        </w:rPr>
        <w:t>Antigen</w:t>
      </w:r>
    </w:p>
    <w:sectPr>
      <w:pgSz w:w="12240" w:h="15840"/>
      <w:pgMar w:top="138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9"/>
      <w:ind w:left="388" w:right="407"/>
      <w:jc w:val="center"/>
    </w:pPr>
    <w:rPr>
      <w:rFonts w:ascii="Times New Roman" w:hAnsi="Times New Roman" w:eastAsia="Times New Roman" w:cs="Times New Roman"/>
      <w:b/>
      <w:bCs/>
      <w:sz w:val="32"/>
      <w:szCs w:val="32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hyperlink" Target="mailto:tohidpirie@yahoo.com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nasim</dc:creator>
  <dcterms:created xsi:type="dcterms:W3CDTF">2022-06-25T03:48:03Z</dcterms:created>
  <dcterms:modified xsi:type="dcterms:W3CDTF">2022-06-25T03:48:03Z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2022-06-24T00:00:00Z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2022-06-25T00:00:00Z</vt:filetime>
  </property>
</Properties>
</file>