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2C622" w14:textId="7E54DCF0" w:rsidR="0069043F" w:rsidRPr="00875988" w:rsidRDefault="00875988" w:rsidP="00875988">
      <w:pPr>
        <w:spacing w:line="360" w:lineRule="auto"/>
        <w:rPr>
          <w:rFonts w:ascii="Times New Roman" w:hAnsi="Times New Roman" w:cs="Times New Roman"/>
          <w:b/>
          <w:bCs/>
          <w:sz w:val="28"/>
          <w:szCs w:val="28"/>
        </w:rPr>
      </w:pPr>
      <w:r w:rsidRPr="00875988">
        <w:rPr>
          <w:rFonts w:ascii="Times New Roman" w:hAnsi="Times New Roman" w:cs="Times New Roman"/>
          <w:b/>
          <w:bCs/>
          <w:sz w:val="28"/>
          <w:szCs w:val="28"/>
        </w:rPr>
        <w:t xml:space="preserve">Studying diversification of microbes in soil around industrial zones of </w:t>
      </w:r>
      <w:proofErr w:type="spellStart"/>
      <w:r w:rsidRPr="00875988">
        <w:rPr>
          <w:rFonts w:ascii="Times New Roman" w:hAnsi="Times New Roman" w:cs="Times New Roman"/>
          <w:b/>
          <w:bCs/>
          <w:sz w:val="28"/>
          <w:szCs w:val="28"/>
        </w:rPr>
        <w:t>Makori</w:t>
      </w:r>
      <w:proofErr w:type="spellEnd"/>
      <w:r w:rsidRPr="00875988">
        <w:rPr>
          <w:rFonts w:ascii="Times New Roman" w:hAnsi="Times New Roman" w:cs="Times New Roman"/>
          <w:b/>
          <w:bCs/>
          <w:sz w:val="28"/>
          <w:szCs w:val="28"/>
        </w:rPr>
        <w:t xml:space="preserve">, </w:t>
      </w:r>
      <w:proofErr w:type="spellStart"/>
      <w:r w:rsidRPr="00875988">
        <w:rPr>
          <w:rFonts w:ascii="Times New Roman" w:hAnsi="Times New Roman" w:cs="Times New Roman"/>
          <w:b/>
          <w:bCs/>
          <w:sz w:val="28"/>
          <w:szCs w:val="28"/>
        </w:rPr>
        <w:t>Gurguri</w:t>
      </w:r>
      <w:proofErr w:type="spellEnd"/>
      <w:r w:rsidRPr="00875988">
        <w:rPr>
          <w:rFonts w:ascii="Times New Roman" w:hAnsi="Times New Roman" w:cs="Times New Roman"/>
          <w:b/>
          <w:bCs/>
          <w:sz w:val="28"/>
          <w:szCs w:val="28"/>
        </w:rPr>
        <w:t xml:space="preserve">, </w:t>
      </w:r>
      <w:proofErr w:type="spellStart"/>
      <w:r w:rsidRPr="00875988">
        <w:rPr>
          <w:rFonts w:ascii="Times New Roman" w:hAnsi="Times New Roman" w:cs="Times New Roman"/>
          <w:b/>
          <w:bCs/>
          <w:sz w:val="28"/>
          <w:szCs w:val="28"/>
        </w:rPr>
        <w:t>Nashpa</w:t>
      </w:r>
      <w:proofErr w:type="spellEnd"/>
      <w:r w:rsidRPr="00875988">
        <w:rPr>
          <w:rFonts w:ascii="Times New Roman" w:hAnsi="Times New Roman" w:cs="Times New Roman"/>
          <w:b/>
          <w:bCs/>
          <w:sz w:val="28"/>
          <w:szCs w:val="28"/>
        </w:rPr>
        <w:t xml:space="preserve">, District </w:t>
      </w:r>
      <w:proofErr w:type="spellStart"/>
      <w:r w:rsidRPr="00875988">
        <w:rPr>
          <w:rFonts w:ascii="Times New Roman" w:hAnsi="Times New Roman" w:cs="Times New Roman"/>
          <w:b/>
          <w:bCs/>
          <w:sz w:val="28"/>
          <w:szCs w:val="28"/>
        </w:rPr>
        <w:t>Karak</w:t>
      </w:r>
      <w:proofErr w:type="spellEnd"/>
      <w:r w:rsidRPr="00875988">
        <w:rPr>
          <w:rFonts w:ascii="Times New Roman" w:hAnsi="Times New Roman" w:cs="Times New Roman"/>
          <w:b/>
          <w:bCs/>
          <w:sz w:val="28"/>
          <w:szCs w:val="28"/>
        </w:rPr>
        <w:t>, Khyber Pakhtunkhwa</w:t>
      </w:r>
    </w:p>
    <w:p w14:paraId="6527B1A8" w14:textId="71438E6E" w:rsidR="0069043F" w:rsidRPr="00875988" w:rsidRDefault="0069043F" w:rsidP="00875988">
      <w:pPr>
        <w:spacing w:after="0" w:line="276" w:lineRule="auto"/>
        <w:ind w:right="26"/>
        <w:rPr>
          <w:rFonts w:ascii="Times New Roman" w:eastAsia="Times New Roman" w:hAnsi="Times New Roman" w:cs="Times New Roman"/>
          <w:bCs/>
          <w:sz w:val="20"/>
          <w:szCs w:val="20"/>
        </w:rPr>
      </w:pPr>
      <w:r w:rsidRPr="00875988">
        <w:rPr>
          <w:rFonts w:ascii="Times New Roman" w:eastAsia="Times New Roman" w:hAnsi="Times New Roman" w:cs="Times New Roman"/>
          <w:bCs/>
          <w:sz w:val="20"/>
          <w:szCs w:val="20"/>
        </w:rPr>
        <w:t>Abdul Wahab</w:t>
      </w:r>
      <w:r w:rsidR="00875988" w:rsidRPr="00875988">
        <w:rPr>
          <w:rFonts w:ascii="Times New Roman" w:eastAsia="Times New Roman" w:hAnsi="Times New Roman" w:cs="Times New Roman"/>
          <w:bCs/>
          <w:sz w:val="20"/>
          <w:szCs w:val="20"/>
          <w:vertAlign w:val="superscript"/>
        </w:rPr>
        <w:t>*</w:t>
      </w:r>
      <w:r w:rsidRPr="00875988">
        <w:rPr>
          <w:rFonts w:ascii="Times New Roman" w:eastAsia="Times New Roman" w:hAnsi="Times New Roman" w:cs="Times New Roman"/>
          <w:bCs/>
          <w:sz w:val="20"/>
          <w:szCs w:val="20"/>
        </w:rPr>
        <w:t>, Mubashir Hussain</w:t>
      </w:r>
      <w:r w:rsidR="00875988" w:rsidRPr="00875988">
        <w:rPr>
          <w:rFonts w:ascii="Times New Roman" w:eastAsia="Times New Roman" w:hAnsi="Times New Roman" w:cs="Times New Roman"/>
          <w:bCs/>
          <w:sz w:val="20"/>
          <w:szCs w:val="20"/>
        </w:rPr>
        <w:t xml:space="preserve"> and </w:t>
      </w:r>
      <w:r w:rsidRPr="00875988">
        <w:rPr>
          <w:rFonts w:ascii="Times New Roman" w:eastAsia="Times New Roman" w:hAnsi="Times New Roman" w:cs="Times New Roman"/>
          <w:bCs/>
          <w:sz w:val="20"/>
          <w:szCs w:val="20"/>
        </w:rPr>
        <w:t>Taj Ali Khan</w:t>
      </w:r>
    </w:p>
    <w:p w14:paraId="3ED779C9" w14:textId="47BC17A2" w:rsidR="0069043F" w:rsidRPr="00875988" w:rsidRDefault="0069043F" w:rsidP="00875988">
      <w:pPr>
        <w:pStyle w:val="ListParagraph"/>
        <w:spacing w:after="0"/>
        <w:ind w:left="0" w:right="26"/>
        <w:rPr>
          <w:rFonts w:ascii="Times New Roman" w:eastAsia="Times New Roman" w:hAnsi="Times New Roman" w:cs="Times New Roman"/>
          <w:sz w:val="20"/>
          <w:szCs w:val="20"/>
        </w:rPr>
      </w:pPr>
      <w:r w:rsidRPr="00875988">
        <w:rPr>
          <w:rFonts w:ascii="Times New Roman" w:eastAsia="Times New Roman" w:hAnsi="Times New Roman" w:cs="Times New Roman"/>
          <w:sz w:val="20"/>
          <w:szCs w:val="20"/>
        </w:rPr>
        <w:t>Department of Microbiology, Kohat University of Science and Technology Kohat-26000 Khyber Pakhtunkhwa, Pakistan</w:t>
      </w:r>
    </w:p>
    <w:p w14:paraId="0B5F56A5" w14:textId="77777777" w:rsidR="0069043F" w:rsidRPr="00875988" w:rsidRDefault="0069043F" w:rsidP="00875988">
      <w:pPr>
        <w:pStyle w:val="Heading1"/>
        <w:ind w:left="0"/>
        <w:rPr>
          <w:sz w:val="20"/>
          <w:szCs w:val="20"/>
        </w:rPr>
      </w:pPr>
    </w:p>
    <w:p w14:paraId="638B9DA1" w14:textId="77777777" w:rsidR="0069043F" w:rsidRPr="00875988" w:rsidRDefault="0069043F" w:rsidP="00875988">
      <w:pPr>
        <w:pStyle w:val="Heading1"/>
        <w:ind w:left="0"/>
        <w:rPr>
          <w:sz w:val="20"/>
          <w:szCs w:val="20"/>
        </w:rPr>
      </w:pPr>
      <w:r w:rsidRPr="00875988">
        <w:rPr>
          <w:sz w:val="20"/>
          <w:szCs w:val="20"/>
        </w:rPr>
        <w:t>Abstract</w:t>
      </w:r>
    </w:p>
    <w:p w14:paraId="7E2B1156" w14:textId="7DDF4E02" w:rsidR="0069043F" w:rsidRDefault="0069043F" w:rsidP="00875988">
      <w:pPr>
        <w:spacing w:after="0" w:line="360" w:lineRule="auto"/>
        <w:jc w:val="both"/>
        <w:rPr>
          <w:rFonts w:ascii="Times New Roman" w:hAnsi="Times New Roman" w:cs="Times New Roman"/>
          <w:sz w:val="20"/>
          <w:szCs w:val="20"/>
        </w:rPr>
      </w:pPr>
      <w:r w:rsidRPr="00875988">
        <w:rPr>
          <w:rFonts w:ascii="Times New Roman" w:hAnsi="Times New Roman" w:cs="Times New Roman"/>
          <w:sz w:val="20"/>
          <w:szCs w:val="20"/>
        </w:rPr>
        <w:t xml:space="preserve">Malaria elimination strategies demand constant monitoring of the parasite population for genetic variations that necessitate a public health response, such as a new form of drug resistance. Malaria control relies mainly on rapid and precise diagnosis, followed by successful treatment. Malaria diagnosis must be made as soon as possible to provide optimal disease management and surveillance. In every situation, the accuracy of malaria diagnosis is essential, as misdiagnosis can result in severe morbidity and mortality. Here, we describe a novel, high through put method using an Illumina Mi-Seq platform to demonstrate the proportions of </w:t>
      </w:r>
      <w:r w:rsidRPr="00875988">
        <w:rPr>
          <w:rFonts w:ascii="Times New Roman" w:hAnsi="Times New Roman" w:cs="Times New Roman"/>
          <w:i/>
          <w:sz w:val="20"/>
          <w:szCs w:val="20"/>
        </w:rPr>
        <w:t>Plasmodium</w:t>
      </w:r>
      <w:r w:rsidRPr="00875988">
        <w:rPr>
          <w:rFonts w:ascii="Times New Roman" w:hAnsi="Times New Roman" w:cs="Times New Roman"/>
          <w:sz w:val="20"/>
          <w:szCs w:val="20"/>
        </w:rPr>
        <w:t xml:space="preserve"> species in </w:t>
      </w:r>
      <w:proofErr w:type="spellStart"/>
      <w:r w:rsidRPr="00875988">
        <w:rPr>
          <w:rFonts w:ascii="Times New Roman" w:hAnsi="Times New Roman" w:cs="Times New Roman"/>
          <w:sz w:val="20"/>
          <w:szCs w:val="20"/>
        </w:rPr>
        <w:t>metabarcoded</w:t>
      </w:r>
      <w:proofErr w:type="spellEnd"/>
      <w:r w:rsidRPr="00875988">
        <w:rPr>
          <w:rFonts w:ascii="Times New Roman" w:hAnsi="Times New Roman" w:cs="Times New Roman"/>
          <w:sz w:val="20"/>
          <w:szCs w:val="20"/>
        </w:rPr>
        <w:t xml:space="preserve"> DNA samples derived from human malaria patients. We reported a unique, high throughput approach for determining the ratio of </w:t>
      </w:r>
      <w:r w:rsidRPr="00875988">
        <w:rPr>
          <w:rFonts w:ascii="Times New Roman" w:hAnsi="Times New Roman" w:cs="Times New Roman"/>
          <w:i/>
          <w:sz w:val="20"/>
          <w:szCs w:val="20"/>
        </w:rPr>
        <w:t>Plasmodium</w:t>
      </w:r>
      <w:r w:rsidRPr="00875988">
        <w:rPr>
          <w:rFonts w:ascii="Times New Roman" w:hAnsi="Times New Roman" w:cs="Times New Roman"/>
          <w:sz w:val="20"/>
          <w:szCs w:val="20"/>
        </w:rPr>
        <w:t xml:space="preserve"> species in metabarcoding DNA samples generated from human malaria patients using an Illumina Mi-Seq. Positive control gDNA from </w:t>
      </w:r>
      <w:r w:rsidRPr="00875988">
        <w:rPr>
          <w:rFonts w:ascii="Times New Roman" w:hAnsi="Times New Roman" w:cs="Times New Roman"/>
          <w:i/>
          <w:iCs/>
          <w:sz w:val="20"/>
          <w:szCs w:val="20"/>
        </w:rPr>
        <w:t xml:space="preserve">P. falciparum </w:t>
      </w:r>
      <w:r w:rsidRPr="00875988">
        <w:rPr>
          <w:rFonts w:ascii="Times New Roman" w:hAnsi="Times New Roman" w:cs="Times New Roman"/>
          <w:sz w:val="20"/>
          <w:szCs w:val="20"/>
        </w:rPr>
        <w:t xml:space="preserve">and </w:t>
      </w:r>
      <w:r w:rsidRPr="00875988">
        <w:rPr>
          <w:rFonts w:ascii="Times New Roman" w:hAnsi="Times New Roman" w:cs="Times New Roman"/>
          <w:i/>
          <w:iCs/>
          <w:sz w:val="20"/>
          <w:szCs w:val="20"/>
        </w:rPr>
        <w:t>P. vivax</w:t>
      </w:r>
      <w:r w:rsidRPr="00875988">
        <w:rPr>
          <w:rFonts w:ascii="Times New Roman" w:hAnsi="Times New Roman" w:cs="Times New Roman"/>
          <w:sz w:val="20"/>
          <w:szCs w:val="20"/>
        </w:rPr>
        <w:t xml:space="preserve"> was used to mock DNA pols of parasites to test the assay direction threshold for each species. The several mock pools indicate the accuracy of the detection abilities and the proportion of each species present. The technique was subsequently used on malaria-positive patient samples to determine the species composition of </w:t>
      </w:r>
      <w:r w:rsidRPr="00875988">
        <w:rPr>
          <w:rFonts w:ascii="Times New Roman" w:hAnsi="Times New Roman" w:cs="Times New Roman"/>
          <w:i/>
          <w:sz w:val="20"/>
          <w:szCs w:val="20"/>
        </w:rPr>
        <w:t>Plasmodium</w:t>
      </w:r>
      <w:r w:rsidRPr="00875988">
        <w:rPr>
          <w:rFonts w:ascii="Times New Roman" w:hAnsi="Times New Roman" w:cs="Times New Roman"/>
          <w:sz w:val="20"/>
          <w:szCs w:val="20"/>
        </w:rPr>
        <w:t xml:space="preserve"> populations in Pakistan's Punjab region and the tribal territories of the </w:t>
      </w:r>
      <w:proofErr w:type="spellStart"/>
      <w:r w:rsidRPr="00875988">
        <w:rPr>
          <w:rFonts w:ascii="Times New Roman" w:hAnsi="Times New Roman" w:cs="Times New Roman"/>
          <w:sz w:val="20"/>
          <w:szCs w:val="20"/>
        </w:rPr>
        <w:t>Auragzai</w:t>
      </w:r>
      <w:proofErr w:type="spellEnd"/>
      <w:r w:rsidRPr="00875988">
        <w:rPr>
          <w:rFonts w:ascii="Times New Roman" w:hAnsi="Times New Roman" w:cs="Times New Roman"/>
          <w:sz w:val="20"/>
          <w:szCs w:val="20"/>
        </w:rPr>
        <w:t xml:space="preserve"> Agency Border (</w:t>
      </w:r>
      <w:proofErr w:type="spellStart"/>
      <w:r w:rsidRPr="00875988">
        <w:rPr>
          <w:rFonts w:ascii="Times New Roman" w:hAnsi="Times New Roman" w:cs="Times New Roman"/>
          <w:sz w:val="20"/>
          <w:szCs w:val="20"/>
        </w:rPr>
        <w:t>ShanaweriZargiri</w:t>
      </w:r>
      <w:proofErr w:type="spellEnd"/>
      <w:r w:rsidRPr="00875988">
        <w:rPr>
          <w:rFonts w:ascii="Times New Roman" w:hAnsi="Times New Roman" w:cs="Times New Roman"/>
          <w:sz w:val="20"/>
          <w:szCs w:val="20"/>
        </w:rPr>
        <w:t xml:space="preserve">) Ali Masjid </w:t>
      </w:r>
      <w:proofErr w:type="spellStart"/>
      <w:r w:rsidRPr="00875988">
        <w:rPr>
          <w:rFonts w:ascii="Times New Roman" w:hAnsi="Times New Roman" w:cs="Times New Roman"/>
          <w:sz w:val="20"/>
          <w:szCs w:val="20"/>
        </w:rPr>
        <w:t>Landi-Kotal</w:t>
      </w:r>
      <w:proofErr w:type="spellEnd"/>
      <w:r w:rsidRPr="00875988">
        <w:rPr>
          <w:rFonts w:ascii="Times New Roman" w:hAnsi="Times New Roman" w:cs="Times New Roman"/>
          <w:sz w:val="20"/>
          <w:szCs w:val="20"/>
        </w:rPr>
        <w:t xml:space="preserve"> Khyber Agency border the Pakistan-Afghanistan. The deep amplicon sequencing approach contrasts with an immunochromatographic test, commonly utilized for diagnosis in the region. According to deep amplicon sequencing, </w:t>
      </w:r>
      <w:r w:rsidRPr="00875988">
        <w:rPr>
          <w:rFonts w:ascii="Times New Roman" w:hAnsi="Times New Roman" w:cs="Times New Roman"/>
          <w:i/>
          <w:sz w:val="20"/>
          <w:szCs w:val="20"/>
        </w:rPr>
        <w:t>P. vivax</w:t>
      </w:r>
      <w:r w:rsidRPr="00875988">
        <w:rPr>
          <w:rFonts w:ascii="Times New Roman" w:hAnsi="Times New Roman" w:cs="Times New Roman"/>
          <w:sz w:val="20"/>
          <w:szCs w:val="20"/>
        </w:rPr>
        <w:t xml:space="preserve"> was present in 69.8 percent of the patients, </w:t>
      </w:r>
      <w:r w:rsidRPr="00875988">
        <w:rPr>
          <w:rFonts w:ascii="Times New Roman" w:hAnsi="Times New Roman" w:cs="Times New Roman"/>
          <w:i/>
          <w:iCs/>
          <w:sz w:val="20"/>
          <w:szCs w:val="20"/>
        </w:rPr>
        <w:t xml:space="preserve">P. falciparum </w:t>
      </w:r>
      <w:r w:rsidRPr="00875988">
        <w:rPr>
          <w:rFonts w:ascii="Times New Roman" w:hAnsi="Times New Roman" w:cs="Times New Roman"/>
          <w:sz w:val="20"/>
          <w:szCs w:val="20"/>
        </w:rPr>
        <w:t xml:space="preserve">in 29.5 percent, and mixed infection in 0.7 percent of the cases. </w:t>
      </w:r>
      <w:r w:rsidRPr="00875988">
        <w:rPr>
          <w:rFonts w:ascii="Times New Roman" w:hAnsi="Times New Roman" w:cs="Times New Roman"/>
          <w:i/>
          <w:sz w:val="20"/>
          <w:szCs w:val="20"/>
        </w:rPr>
        <w:t>Plasmodium vivax</w:t>
      </w:r>
      <w:r w:rsidRPr="00875988">
        <w:rPr>
          <w:rFonts w:ascii="Times New Roman" w:hAnsi="Times New Roman" w:cs="Times New Roman"/>
          <w:sz w:val="20"/>
          <w:szCs w:val="20"/>
        </w:rPr>
        <w:t xml:space="preserve"> was found in 65.6 percent of patients, </w:t>
      </w:r>
      <w:r w:rsidRPr="00875988">
        <w:rPr>
          <w:rFonts w:ascii="Times New Roman" w:hAnsi="Times New Roman" w:cs="Times New Roman"/>
          <w:i/>
          <w:iCs/>
          <w:sz w:val="20"/>
          <w:szCs w:val="20"/>
        </w:rPr>
        <w:t xml:space="preserve">P. falciparum </w:t>
      </w:r>
      <w:r w:rsidRPr="00875988">
        <w:rPr>
          <w:rFonts w:ascii="Times New Roman" w:hAnsi="Times New Roman" w:cs="Times New Roman"/>
          <w:sz w:val="20"/>
          <w:szCs w:val="20"/>
        </w:rPr>
        <w:t>in 27.4 percent, mixed infection in 0.7 percent of patients, and 6.32 percent of positive malaria cases were negative in immunochromatographic but positive in deep amplicon sequencing.</w:t>
      </w:r>
    </w:p>
    <w:p w14:paraId="7AC09DE8" w14:textId="77777777" w:rsidR="00E8653F" w:rsidRPr="00875988" w:rsidRDefault="00E8653F" w:rsidP="00875988">
      <w:pPr>
        <w:spacing w:after="0" w:line="360" w:lineRule="auto"/>
        <w:jc w:val="both"/>
        <w:rPr>
          <w:rFonts w:ascii="Times New Roman" w:hAnsi="Times New Roman" w:cs="Times New Roman"/>
          <w:sz w:val="20"/>
          <w:szCs w:val="20"/>
        </w:rPr>
      </w:pPr>
    </w:p>
    <w:p w14:paraId="55450701" w14:textId="77777777" w:rsidR="0069043F" w:rsidRPr="00875988" w:rsidRDefault="0069043F" w:rsidP="00875988">
      <w:pPr>
        <w:spacing w:after="0" w:line="360" w:lineRule="auto"/>
        <w:jc w:val="both"/>
        <w:rPr>
          <w:rFonts w:ascii="Times New Roman" w:hAnsi="Times New Roman" w:cs="Times New Roman"/>
          <w:sz w:val="20"/>
          <w:szCs w:val="20"/>
        </w:rPr>
      </w:pPr>
      <w:r w:rsidRPr="00875988">
        <w:rPr>
          <w:rFonts w:ascii="Times New Roman" w:hAnsi="Times New Roman" w:cs="Times New Roman"/>
          <w:sz w:val="20"/>
          <w:szCs w:val="20"/>
        </w:rPr>
        <w:t xml:space="preserve">Overall, metabarcoding DNA sequencing improves diagnosis accuracy, resulting in a significant increase in </w:t>
      </w:r>
      <w:r w:rsidRPr="00875988">
        <w:rPr>
          <w:rFonts w:ascii="Times New Roman" w:hAnsi="Times New Roman" w:cs="Times New Roman"/>
          <w:i/>
          <w:sz w:val="20"/>
          <w:szCs w:val="20"/>
        </w:rPr>
        <w:t>Plasmodium</w:t>
      </w:r>
      <w:r w:rsidRPr="00875988">
        <w:rPr>
          <w:rFonts w:ascii="Times New Roman" w:hAnsi="Times New Roman" w:cs="Times New Roman"/>
          <w:sz w:val="20"/>
          <w:szCs w:val="20"/>
        </w:rPr>
        <w:t xml:space="preserve"> infection prevalence estimates. The use of metabarcoding DNA in next-generation sequencing could help in </w:t>
      </w:r>
      <w:r w:rsidRPr="00875988">
        <w:rPr>
          <w:rFonts w:ascii="Times New Roman" w:hAnsi="Times New Roman" w:cs="Times New Roman"/>
          <w:i/>
          <w:sz w:val="20"/>
          <w:szCs w:val="20"/>
        </w:rPr>
        <w:t>Plasmodium</w:t>
      </w:r>
      <w:r w:rsidRPr="00875988">
        <w:rPr>
          <w:rFonts w:ascii="Times New Roman" w:hAnsi="Times New Roman" w:cs="Times New Roman"/>
          <w:sz w:val="20"/>
          <w:szCs w:val="20"/>
        </w:rPr>
        <w:t xml:space="preserve"> infection diagnosis, surveillance, treatment, and control, as well as research into parasite biology.</w:t>
      </w:r>
    </w:p>
    <w:p w14:paraId="542A8774" w14:textId="77777777" w:rsidR="0069043F" w:rsidRPr="00875988" w:rsidRDefault="0069043F" w:rsidP="00875988">
      <w:pPr>
        <w:spacing w:after="0" w:line="360" w:lineRule="auto"/>
        <w:jc w:val="both"/>
        <w:rPr>
          <w:rFonts w:ascii="Times New Roman" w:hAnsi="Times New Roman" w:cs="Times New Roman"/>
          <w:sz w:val="20"/>
          <w:szCs w:val="20"/>
        </w:rPr>
      </w:pPr>
    </w:p>
    <w:p w14:paraId="7E9B6206" w14:textId="7CF9C64E" w:rsidR="0069043F" w:rsidRPr="00875988" w:rsidRDefault="0069043F" w:rsidP="00875988">
      <w:pPr>
        <w:spacing w:line="360" w:lineRule="auto"/>
        <w:jc w:val="both"/>
        <w:rPr>
          <w:rFonts w:ascii="Times New Roman" w:hAnsi="Times New Roman" w:cs="Times New Roman"/>
          <w:sz w:val="20"/>
          <w:szCs w:val="20"/>
        </w:rPr>
      </w:pPr>
      <w:r w:rsidRPr="00875988">
        <w:rPr>
          <w:rFonts w:ascii="Times New Roman" w:hAnsi="Times New Roman" w:cs="Times New Roman"/>
          <w:b/>
          <w:sz w:val="20"/>
          <w:szCs w:val="20"/>
        </w:rPr>
        <w:t>Key words:</w:t>
      </w:r>
      <w:r w:rsidRPr="00875988">
        <w:rPr>
          <w:rFonts w:ascii="Times New Roman" w:hAnsi="Times New Roman" w:cs="Times New Roman"/>
          <w:sz w:val="20"/>
          <w:szCs w:val="20"/>
        </w:rPr>
        <w:t xml:space="preserve"> diagnosis, surveillance, Illumina, </w:t>
      </w:r>
      <w:r w:rsidRPr="00875988">
        <w:rPr>
          <w:rFonts w:ascii="Times New Roman" w:hAnsi="Times New Roman" w:cs="Times New Roman"/>
          <w:i/>
          <w:sz w:val="20"/>
          <w:szCs w:val="20"/>
        </w:rPr>
        <w:t xml:space="preserve">Plasmodium, </w:t>
      </w:r>
      <w:r w:rsidRPr="00875988">
        <w:rPr>
          <w:rFonts w:ascii="Times New Roman" w:hAnsi="Times New Roman" w:cs="Times New Roman"/>
          <w:i/>
          <w:iCs/>
          <w:sz w:val="20"/>
          <w:szCs w:val="20"/>
        </w:rPr>
        <w:t>P. falciparum,</w:t>
      </w:r>
      <w:r w:rsidRPr="00875988">
        <w:rPr>
          <w:rFonts w:ascii="Times New Roman" w:hAnsi="Times New Roman" w:cs="Times New Roman"/>
          <w:sz w:val="20"/>
          <w:szCs w:val="20"/>
        </w:rPr>
        <w:t xml:space="preserve"> immunochromatographic, amplicon sequencing, surveillance,</w:t>
      </w:r>
    </w:p>
    <w:p w14:paraId="2A0C8E2C" w14:textId="77777777" w:rsidR="0069043F" w:rsidRDefault="0069043F" w:rsidP="00875988">
      <w:pPr>
        <w:spacing w:after="0" w:line="360" w:lineRule="auto"/>
        <w:jc w:val="both"/>
        <w:rPr>
          <w:rFonts w:ascii="Times New Roman" w:hAnsi="Times New Roman" w:cs="Times New Roman"/>
          <w:sz w:val="24"/>
          <w:szCs w:val="24"/>
        </w:rPr>
      </w:pPr>
    </w:p>
    <w:p w14:paraId="57F139BE" w14:textId="099A5B0F" w:rsidR="00875988" w:rsidRPr="00875988" w:rsidRDefault="00875988" w:rsidP="00875988">
      <w:pPr>
        <w:spacing w:after="0" w:line="276" w:lineRule="auto"/>
        <w:ind w:right="26"/>
        <w:rPr>
          <w:rFonts w:ascii="Times New Roman" w:eastAsia="Times New Roman" w:hAnsi="Times New Roman" w:cs="Times New Roman"/>
          <w:sz w:val="20"/>
          <w:szCs w:val="20"/>
        </w:rPr>
      </w:pPr>
      <w:r w:rsidRPr="00875988">
        <w:rPr>
          <w:rFonts w:ascii="Times New Roman" w:eastAsia="Times New Roman" w:hAnsi="Times New Roman" w:cs="Times New Roman"/>
          <w:b/>
          <w:bCs/>
          <w:sz w:val="20"/>
          <w:szCs w:val="20"/>
        </w:rPr>
        <w:lastRenderedPageBreak/>
        <w:t>Biography:</w:t>
      </w:r>
      <w:r w:rsidRPr="00875988">
        <w:rPr>
          <w:rFonts w:ascii="Times New Roman" w:eastAsia="Times New Roman" w:hAnsi="Times New Roman" w:cs="Times New Roman"/>
          <w:sz w:val="20"/>
          <w:szCs w:val="20"/>
        </w:rPr>
        <w:t xml:space="preserve"> </w:t>
      </w:r>
      <w:r w:rsidRPr="00875988">
        <w:rPr>
          <w:rFonts w:ascii="Times New Roman" w:eastAsia="Times New Roman" w:hAnsi="Times New Roman" w:cs="Times New Roman"/>
          <w:sz w:val="20"/>
          <w:szCs w:val="20"/>
        </w:rPr>
        <w:t>Abdul Wahab</w:t>
      </w:r>
      <w:r w:rsidRPr="00875988">
        <w:rPr>
          <w:rFonts w:ascii="Times New Roman" w:eastAsia="Times New Roman" w:hAnsi="Times New Roman" w:cs="Times New Roman"/>
          <w:sz w:val="20"/>
          <w:szCs w:val="20"/>
        </w:rPr>
        <w:t xml:space="preserve"> is affiliated to the </w:t>
      </w:r>
      <w:r w:rsidRPr="00875988">
        <w:rPr>
          <w:rFonts w:ascii="Times New Roman" w:eastAsia="Times New Roman" w:hAnsi="Times New Roman" w:cs="Times New Roman"/>
          <w:sz w:val="20"/>
          <w:szCs w:val="20"/>
        </w:rPr>
        <w:t>Department of Microbiology, Kohat University of Science and Technology Kohat-26000 Khyber Pakhtunkhwa, Pakistan</w:t>
      </w:r>
      <w:r>
        <w:rPr>
          <w:rFonts w:ascii="Times New Roman" w:eastAsia="Times New Roman" w:hAnsi="Times New Roman" w:cs="Times New Roman"/>
          <w:sz w:val="20"/>
          <w:szCs w:val="20"/>
        </w:rPr>
        <w:t>.</w:t>
      </w:r>
    </w:p>
    <w:p w14:paraId="3EB6E98E" w14:textId="5C410F5B" w:rsidR="00C316B4" w:rsidRDefault="00E8653F" w:rsidP="00875988"/>
    <w:p w14:paraId="19938E1F" w14:textId="77777777" w:rsidR="00875988" w:rsidRDefault="00875988" w:rsidP="00875988"/>
    <w:sectPr w:rsidR="00875988" w:rsidSect="00087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9043F"/>
    <w:rsid w:val="000878BB"/>
    <w:rsid w:val="00345425"/>
    <w:rsid w:val="004868B6"/>
    <w:rsid w:val="004F374C"/>
    <w:rsid w:val="0069043F"/>
    <w:rsid w:val="00695449"/>
    <w:rsid w:val="00875988"/>
    <w:rsid w:val="009A5D2D"/>
    <w:rsid w:val="00E865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7A8CE"/>
  <w15:docId w15:val="{C9A296B6-8110-456E-A5C4-DFFCC1467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43F"/>
    <w:pPr>
      <w:spacing w:after="160" w:line="259" w:lineRule="auto"/>
    </w:pPr>
    <w:rPr>
      <w:rFonts w:ascii="Calibri" w:eastAsia="Calibri" w:hAnsi="Calibri" w:cs="Arial"/>
    </w:rPr>
  </w:style>
  <w:style w:type="paragraph" w:styleId="Heading1">
    <w:name w:val="heading 1"/>
    <w:basedOn w:val="Normal"/>
    <w:next w:val="Normal"/>
    <w:link w:val="Heading1Char"/>
    <w:autoRedefine/>
    <w:uiPriority w:val="9"/>
    <w:qFormat/>
    <w:rsid w:val="0069043F"/>
    <w:pPr>
      <w:keepNext/>
      <w:keepLines/>
      <w:spacing w:before="240" w:after="240" w:line="240" w:lineRule="auto"/>
      <w:ind w:left="432" w:hanging="432"/>
      <w:jc w:val="center"/>
      <w:outlineLvl w:val="0"/>
    </w:pPr>
    <w:rPr>
      <w:rFonts w:ascii="Times New Roman" w:eastAsia="Times New Roman" w:hAnsi="Times New Roman" w:cs="Times New Roman"/>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43F"/>
    <w:rPr>
      <w:rFonts w:ascii="Times New Roman" w:eastAsia="Times New Roman" w:hAnsi="Times New Roman" w:cs="Times New Roman"/>
      <w:b/>
      <w:color w:val="000000"/>
      <w:sz w:val="28"/>
      <w:szCs w:val="28"/>
    </w:rPr>
  </w:style>
  <w:style w:type="paragraph" w:styleId="ListParagraph">
    <w:name w:val="List Paragraph"/>
    <w:basedOn w:val="Normal"/>
    <w:uiPriority w:val="34"/>
    <w:qFormat/>
    <w:rsid w:val="0069043F"/>
    <w:pPr>
      <w:spacing w:after="200" w:line="276"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6904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444</Words>
  <Characters>2533</Characters>
  <Application>Microsoft Office Word</Application>
  <DocSecurity>0</DocSecurity>
  <Lines>21</Lines>
  <Paragraphs>5</Paragraphs>
  <ScaleCrop>false</ScaleCrop>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Naeem</dc:creator>
  <cp:lastModifiedBy>Marine Biology</cp:lastModifiedBy>
  <cp:revision>7</cp:revision>
  <dcterms:created xsi:type="dcterms:W3CDTF">2022-06-20T02:25:00Z</dcterms:created>
  <dcterms:modified xsi:type="dcterms:W3CDTF">2022-06-22T13:29:00Z</dcterms:modified>
</cp:coreProperties>
</file>