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E8B6A3" w14:textId="77777777" w:rsidR="00210154" w:rsidRPr="00210154" w:rsidRDefault="00210154" w:rsidP="00210154">
      <w:pPr>
        <w:widowControl/>
        <w:shd w:val="clear" w:color="auto" w:fill="FFFFFF"/>
        <w:spacing w:before="100" w:beforeAutospacing="1" w:after="100" w:afterAutospacing="1"/>
        <w:jc w:val="left"/>
        <w:outlineLvl w:val="1"/>
        <w:rPr>
          <w:rFonts w:ascii="Georgia" w:eastAsia="SimSun" w:hAnsi="Georgia" w:cs="SimSun"/>
          <w:b/>
          <w:bCs/>
          <w:color w:val="212121"/>
          <w:kern w:val="0"/>
          <w:sz w:val="36"/>
          <w:szCs w:val="36"/>
        </w:rPr>
      </w:pPr>
      <w:bookmarkStart w:id="0" w:name="_GoBack"/>
      <w:bookmarkEnd w:id="0"/>
      <w:r w:rsidRPr="00210154">
        <w:rPr>
          <w:rFonts w:ascii="Georgia" w:eastAsia="SimSun" w:hAnsi="Georgia" w:cs="SimSun"/>
          <w:b/>
          <w:bCs/>
          <w:color w:val="212121"/>
          <w:kern w:val="0"/>
          <w:sz w:val="36"/>
          <w:szCs w:val="36"/>
        </w:rPr>
        <w:t>Abstract</w:t>
      </w:r>
    </w:p>
    <w:p w14:paraId="40B38ABE" w14:textId="77777777" w:rsidR="00210154" w:rsidRPr="00210154" w:rsidRDefault="00210154" w:rsidP="00210154">
      <w:pPr>
        <w:widowControl/>
        <w:shd w:val="clear" w:color="auto" w:fill="FFFFFF"/>
        <w:spacing w:before="100" w:beforeAutospacing="1" w:after="100" w:afterAutospacing="1"/>
        <w:jc w:val="left"/>
        <w:rPr>
          <w:rFonts w:ascii="Segoe UI" w:eastAsia="SimSun" w:hAnsi="Segoe UI" w:cs="Segoe UI"/>
          <w:color w:val="212121"/>
          <w:kern w:val="0"/>
          <w:sz w:val="24"/>
          <w:szCs w:val="24"/>
        </w:rPr>
      </w:pPr>
      <w:r w:rsidRPr="00210154">
        <w:rPr>
          <w:rFonts w:ascii="Segoe UI" w:eastAsia="SimSun" w:hAnsi="Segoe UI" w:cs="Segoe UI"/>
          <w:b/>
          <w:bCs/>
          <w:color w:val="212121"/>
          <w:kern w:val="0"/>
          <w:sz w:val="24"/>
          <w:szCs w:val="24"/>
        </w:rPr>
        <w:t>Background: </w:t>
      </w:r>
      <w:r w:rsidRPr="00210154">
        <w:rPr>
          <w:rFonts w:ascii="Segoe UI" w:eastAsia="SimSun" w:hAnsi="Segoe UI" w:cs="Segoe UI"/>
          <w:color w:val="212121"/>
          <w:kern w:val="0"/>
          <w:sz w:val="24"/>
          <w:szCs w:val="24"/>
        </w:rPr>
        <w:t>Studies have confirmed active and abnormal inflammation in the hematoma cavity of chronic subdural hematoma (CSDH). However, a relationship between the peripheral blood status and prognosis of CSDH patients has not been demonstrated.</w:t>
      </w:r>
    </w:p>
    <w:p w14:paraId="42DE7ADB" w14:textId="77777777" w:rsidR="00210154" w:rsidRPr="00210154" w:rsidRDefault="00210154" w:rsidP="00210154">
      <w:pPr>
        <w:widowControl/>
        <w:shd w:val="clear" w:color="auto" w:fill="FFFFFF"/>
        <w:spacing w:before="100" w:beforeAutospacing="1" w:after="100" w:afterAutospacing="1"/>
        <w:jc w:val="left"/>
        <w:rPr>
          <w:rFonts w:ascii="Segoe UI" w:eastAsia="SimSun" w:hAnsi="Segoe UI" w:cs="Segoe UI"/>
          <w:color w:val="212121"/>
          <w:kern w:val="0"/>
          <w:sz w:val="24"/>
          <w:szCs w:val="24"/>
        </w:rPr>
      </w:pPr>
      <w:r w:rsidRPr="00210154">
        <w:rPr>
          <w:rFonts w:ascii="Segoe UI" w:eastAsia="SimSun" w:hAnsi="Segoe UI" w:cs="Segoe UI"/>
          <w:b/>
          <w:bCs/>
          <w:color w:val="212121"/>
          <w:kern w:val="0"/>
          <w:sz w:val="24"/>
          <w:szCs w:val="24"/>
        </w:rPr>
        <w:t>Methods: </w:t>
      </w:r>
      <w:r w:rsidRPr="00210154">
        <w:rPr>
          <w:rFonts w:ascii="Segoe UI" w:eastAsia="SimSun" w:hAnsi="Segoe UI" w:cs="Segoe UI"/>
          <w:color w:val="212121"/>
          <w:kern w:val="0"/>
          <w:sz w:val="24"/>
          <w:szCs w:val="24"/>
        </w:rPr>
        <w:t>We retrospectively analyzed 245 CSDH patients who received conservative therapy (67 under close follow-up observation, 103 treated with atorvastatin and 75 treated with atorvastatin combined with dexamethasone) from 2014 to 2021 to evaluate the role of major inflammation-associated cells in the prognostic assessment of patients. Univariate and multivariate analyses were performed to assess the potential factors that could indicate the prognosis among the 103 patients who underwent observation only or atorvastatin therapy. Changes in peripheral blood inflammation-associated cells at different time points were compared between patients with good and poor outcomes. Furthermore, the changes in inflammatory cells in 75 patients who received atorvastatin combined with dexamethasone were analyzed.</w:t>
      </w:r>
    </w:p>
    <w:p w14:paraId="6C1C099C" w14:textId="77777777" w:rsidR="00210154" w:rsidRPr="00210154" w:rsidRDefault="00210154" w:rsidP="00210154">
      <w:pPr>
        <w:widowControl/>
        <w:shd w:val="clear" w:color="auto" w:fill="FFFFFF"/>
        <w:spacing w:before="100" w:beforeAutospacing="1" w:after="100" w:afterAutospacing="1"/>
        <w:jc w:val="left"/>
        <w:rPr>
          <w:rFonts w:ascii="Segoe UI" w:eastAsia="SimSun" w:hAnsi="Segoe UI" w:cs="Segoe UI"/>
          <w:color w:val="212121"/>
          <w:kern w:val="0"/>
          <w:sz w:val="24"/>
          <w:szCs w:val="24"/>
        </w:rPr>
      </w:pPr>
      <w:r w:rsidRPr="00210154">
        <w:rPr>
          <w:rFonts w:ascii="Segoe UI" w:eastAsia="SimSun" w:hAnsi="Segoe UI" w:cs="Segoe UI"/>
          <w:b/>
          <w:bCs/>
          <w:color w:val="212121"/>
          <w:kern w:val="0"/>
          <w:sz w:val="24"/>
          <w:szCs w:val="24"/>
        </w:rPr>
        <w:t>Results: </w:t>
      </w:r>
      <w:r w:rsidRPr="00210154">
        <w:rPr>
          <w:rFonts w:ascii="Segoe UI" w:eastAsia="SimSun" w:hAnsi="Segoe UI" w:cs="Segoe UI"/>
          <w:color w:val="212121"/>
          <w:kern w:val="0"/>
          <w:sz w:val="24"/>
          <w:szCs w:val="24"/>
        </w:rPr>
        <w:t xml:space="preserve">The monocyte percentage was the only independent influencing factor in subsequent follow-up assessments. Patients with good outcomes had obviously lower circulating monocyte percentages in their peripheral blood counts throughout treatment period. The monocyte percentage was also significantly decreased in the patients who responded well to atorvastatin </w:t>
      </w:r>
      <w:r w:rsidRPr="00210154">
        <w:rPr>
          <w:rFonts w:ascii="Segoe UI" w:eastAsia="SimSun" w:hAnsi="Segoe UI" w:cs="Segoe UI"/>
          <w:color w:val="212121"/>
          <w:kern w:val="0"/>
          <w:sz w:val="24"/>
          <w:szCs w:val="24"/>
        </w:rPr>
        <w:lastRenderedPageBreak/>
        <w:t>combined with dexamethasone. The peripheral monocyte percentage was significantly higher in patients who transitioned to surgery because of a poor response to pharmacotherapy.</w:t>
      </w:r>
    </w:p>
    <w:p w14:paraId="0AA98EA6" w14:textId="77777777" w:rsidR="00210154" w:rsidRPr="00210154" w:rsidRDefault="00210154" w:rsidP="00210154">
      <w:pPr>
        <w:widowControl/>
        <w:shd w:val="clear" w:color="auto" w:fill="FFFFFF"/>
        <w:spacing w:before="100" w:beforeAutospacing="1" w:after="100" w:afterAutospacing="1"/>
        <w:jc w:val="left"/>
        <w:rPr>
          <w:rFonts w:ascii="Segoe UI" w:eastAsia="SimSun" w:hAnsi="Segoe UI" w:cs="Segoe UI"/>
          <w:color w:val="212121"/>
          <w:kern w:val="0"/>
          <w:sz w:val="24"/>
          <w:szCs w:val="24"/>
        </w:rPr>
      </w:pPr>
      <w:r w:rsidRPr="00210154">
        <w:rPr>
          <w:rFonts w:ascii="Segoe UI" w:eastAsia="SimSun" w:hAnsi="Segoe UI" w:cs="Segoe UI"/>
          <w:b/>
          <w:bCs/>
          <w:color w:val="212121"/>
          <w:kern w:val="0"/>
          <w:sz w:val="24"/>
          <w:szCs w:val="24"/>
        </w:rPr>
        <w:t>Conclusions: </w:t>
      </w:r>
      <w:r w:rsidRPr="00210154">
        <w:rPr>
          <w:rFonts w:ascii="Segoe UI" w:eastAsia="SimSun" w:hAnsi="Segoe UI" w:cs="Segoe UI"/>
          <w:color w:val="212121"/>
          <w:kern w:val="0"/>
          <w:sz w:val="24"/>
          <w:szCs w:val="24"/>
        </w:rPr>
        <w:t>The peripheral monocyte percentage may be a convenient and effective indicator for predicting the outcome of CSDH for patients receiving conservative treatment. A higher percentage of monocytes could be a risk factor for a poor response.</w:t>
      </w:r>
    </w:p>
    <w:p w14:paraId="25D23C37" w14:textId="77777777" w:rsidR="00210154" w:rsidRPr="00210154" w:rsidRDefault="00210154" w:rsidP="00210154">
      <w:pPr>
        <w:widowControl/>
        <w:shd w:val="clear" w:color="auto" w:fill="FFFFFF"/>
        <w:spacing w:before="100" w:beforeAutospacing="1" w:after="100" w:afterAutospacing="1"/>
        <w:jc w:val="left"/>
        <w:rPr>
          <w:rFonts w:ascii="Segoe UI" w:eastAsia="SimSun" w:hAnsi="Segoe UI" w:cs="Segoe UI"/>
          <w:color w:val="212121"/>
          <w:kern w:val="0"/>
          <w:sz w:val="24"/>
          <w:szCs w:val="24"/>
        </w:rPr>
      </w:pPr>
      <w:r w:rsidRPr="00210154">
        <w:rPr>
          <w:rFonts w:ascii="Segoe UI" w:eastAsia="SimSun" w:hAnsi="Segoe UI" w:cs="Segoe UI"/>
          <w:b/>
          <w:bCs/>
          <w:color w:val="212121"/>
          <w:kern w:val="0"/>
          <w:sz w:val="24"/>
          <w:szCs w:val="24"/>
        </w:rPr>
        <w:t>Keywords: </w:t>
      </w:r>
      <w:r w:rsidRPr="00210154">
        <w:rPr>
          <w:rFonts w:ascii="Segoe UI" w:eastAsia="SimSun" w:hAnsi="Segoe UI" w:cs="Segoe UI"/>
          <w:color w:val="212121"/>
          <w:kern w:val="0"/>
          <w:sz w:val="24"/>
          <w:szCs w:val="24"/>
        </w:rPr>
        <w:t>chronic subdural hematoma; conservative treatment; drug therapy; monocytes; prognostic factor.</w:t>
      </w:r>
    </w:p>
    <w:p w14:paraId="483AF703" w14:textId="415E0769" w:rsidR="00886912" w:rsidRPr="00210154" w:rsidRDefault="00886912" w:rsidP="00FF22A8"/>
    <w:sectPr w:rsidR="00886912" w:rsidRPr="0021015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8747C6"/>
    <w:multiLevelType w:val="hybridMultilevel"/>
    <w:tmpl w:val="51324028"/>
    <w:lvl w:ilvl="0" w:tplc="C9B0FA14">
      <w:start w:val="1"/>
      <w:numFmt w:val="japaneseCounting"/>
      <w:lvlText w:val="%1、"/>
      <w:lvlJc w:val="left"/>
      <w:pPr>
        <w:ind w:left="831" w:hanging="411"/>
      </w:pPr>
      <w:rPr>
        <w:rFonts w:asciiTheme="minorHAnsi" w:eastAsiaTheme="minorEastAsia" w:hAnsiTheme="minorHAnsi" w:cstheme="minorBidi"/>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B41"/>
    <w:rsid w:val="00007222"/>
    <w:rsid w:val="00063800"/>
    <w:rsid w:val="0018666F"/>
    <w:rsid w:val="00210154"/>
    <w:rsid w:val="004026B3"/>
    <w:rsid w:val="0050768F"/>
    <w:rsid w:val="00826973"/>
    <w:rsid w:val="00886912"/>
    <w:rsid w:val="008C75AF"/>
    <w:rsid w:val="00AE7C5B"/>
    <w:rsid w:val="00B00B41"/>
    <w:rsid w:val="00B9770E"/>
    <w:rsid w:val="00D95ACB"/>
    <w:rsid w:val="00E70F84"/>
    <w:rsid w:val="00EE44CB"/>
    <w:rsid w:val="00FF2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4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link w:val="Heading2Char"/>
    <w:uiPriority w:val="9"/>
    <w:qFormat/>
    <w:rsid w:val="00210154"/>
    <w:pPr>
      <w:widowControl/>
      <w:spacing w:before="100" w:beforeAutospacing="1" w:after="100" w:afterAutospacing="1"/>
      <w:jc w:val="left"/>
      <w:outlineLvl w:val="1"/>
    </w:pPr>
    <w:rPr>
      <w:rFonts w:ascii="SimSun" w:eastAsia="SimSun" w:hAnsi="SimSun" w:cs="SimSu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B41"/>
    <w:pPr>
      <w:ind w:firstLineChars="200" w:firstLine="420"/>
    </w:pPr>
  </w:style>
  <w:style w:type="character" w:customStyle="1" w:styleId="Heading2Char">
    <w:name w:val="Heading 2 Char"/>
    <w:basedOn w:val="DefaultParagraphFont"/>
    <w:link w:val="Heading2"/>
    <w:uiPriority w:val="9"/>
    <w:rsid w:val="00210154"/>
    <w:rPr>
      <w:rFonts w:ascii="SimSun" w:eastAsia="SimSun" w:hAnsi="SimSun" w:cs="SimSun"/>
      <w:b/>
      <w:bCs/>
      <w:kern w:val="0"/>
      <w:sz w:val="36"/>
      <w:szCs w:val="36"/>
    </w:rPr>
  </w:style>
  <w:style w:type="paragraph" w:styleId="NormalWeb">
    <w:name w:val="Normal (Web)"/>
    <w:basedOn w:val="Normal"/>
    <w:uiPriority w:val="99"/>
    <w:semiHidden/>
    <w:unhideWhenUsed/>
    <w:rsid w:val="00210154"/>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21015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link w:val="Heading2Char"/>
    <w:uiPriority w:val="9"/>
    <w:qFormat/>
    <w:rsid w:val="00210154"/>
    <w:pPr>
      <w:widowControl/>
      <w:spacing w:before="100" w:beforeAutospacing="1" w:after="100" w:afterAutospacing="1"/>
      <w:jc w:val="left"/>
      <w:outlineLvl w:val="1"/>
    </w:pPr>
    <w:rPr>
      <w:rFonts w:ascii="SimSun" w:eastAsia="SimSun" w:hAnsi="SimSun" w:cs="SimSu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B41"/>
    <w:pPr>
      <w:ind w:firstLineChars="200" w:firstLine="420"/>
    </w:pPr>
  </w:style>
  <w:style w:type="character" w:customStyle="1" w:styleId="Heading2Char">
    <w:name w:val="Heading 2 Char"/>
    <w:basedOn w:val="DefaultParagraphFont"/>
    <w:link w:val="Heading2"/>
    <w:uiPriority w:val="9"/>
    <w:rsid w:val="00210154"/>
    <w:rPr>
      <w:rFonts w:ascii="SimSun" w:eastAsia="SimSun" w:hAnsi="SimSun" w:cs="SimSun"/>
      <w:b/>
      <w:bCs/>
      <w:kern w:val="0"/>
      <w:sz w:val="36"/>
      <w:szCs w:val="36"/>
    </w:rPr>
  </w:style>
  <w:style w:type="paragraph" w:styleId="NormalWeb">
    <w:name w:val="Normal (Web)"/>
    <w:basedOn w:val="Normal"/>
    <w:uiPriority w:val="99"/>
    <w:semiHidden/>
    <w:unhideWhenUsed/>
    <w:rsid w:val="00210154"/>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210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373913">
      <w:bodyDiv w:val="1"/>
      <w:marLeft w:val="0"/>
      <w:marRight w:val="0"/>
      <w:marTop w:val="0"/>
      <w:marBottom w:val="0"/>
      <w:divBdr>
        <w:top w:val="none" w:sz="0" w:space="0" w:color="auto"/>
        <w:left w:val="none" w:sz="0" w:space="0" w:color="auto"/>
        <w:bottom w:val="none" w:sz="0" w:space="0" w:color="auto"/>
        <w:right w:val="none" w:sz="0" w:space="0" w:color="auto"/>
      </w:divBdr>
      <w:divsChild>
        <w:div w:id="430470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 Jia</dc:creator>
  <cp:lastModifiedBy>ENT Surgery Supporting 2018</cp:lastModifiedBy>
  <cp:revision>2</cp:revision>
  <dcterms:created xsi:type="dcterms:W3CDTF">2022-06-22T11:36:00Z</dcterms:created>
  <dcterms:modified xsi:type="dcterms:W3CDTF">2022-06-22T11:36:00Z</dcterms:modified>
</cp:coreProperties>
</file>