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7F620F" w14:textId="0826ECF9" w:rsidR="00AE3E37" w:rsidRDefault="00DE30EA" w:rsidP="000534A1">
      <w:pPr>
        <w:pStyle w:val="Heading1"/>
        <w:spacing w:before="170"/>
        <w:ind w:left="0"/>
        <w:jc w:val="both"/>
        <w:rPr>
          <w:color w:val="337AB7"/>
        </w:rPr>
      </w:pPr>
      <w:bookmarkStart w:id="0" w:name="_Hlk106409397"/>
      <w:bookmarkStart w:id="1" w:name="_GoBack"/>
      <w:bookmarkEnd w:id="0"/>
      <w:bookmarkEnd w:id="1"/>
      <w:r>
        <w:rPr>
          <w:color w:val="337AB7"/>
        </w:rPr>
        <w:t xml:space="preserve"> </w:t>
      </w:r>
      <w:r w:rsidRPr="00DE30EA">
        <w:rPr>
          <w:color w:val="337AB7"/>
        </w:rPr>
        <w:t>Spiritual counseling for infertile persons in Orthodox Christianity</w:t>
      </w:r>
    </w:p>
    <w:p w14:paraId="585DBD4F" w14:textId="77777777" w:rsidR="00DE30EA" w:rsidRDefault="00DE30EA" w:rsidP="000534A1">
      <w:pPr>
        <w:pStyle w:val="Heading1"/>
        <w:spacing w:before="170"/>
        <w:ind w:left="0"/>
        <w:jc w:val="both"/>
      </w:pPr>
    </w:p>
    <w:p w14:paraId="5605DD4E" w14:textId="5135C62E" w:rsidR="00AE3E37" w:rsidRDefault="00D73E1B" w:rsidP="00D73E1B">
      <w:pPr>
        <w:pStyle w:val="BodyText"/>
        <w:spacing w:before="73" w:line="198" w:lineRule="exact"/>
        <w:ind w:left="100" w:right="5987"/>
        <w:rPr>
          <w:rFonts w:ascii="Arial"/>
          <w:sz w:val="20"/>
        </w:rPr>
      </w:pPr>
      <w:r w:rsidRPr="00D73E1B">
        <w:rPr>
          <w:rFonts w:ascii="Arial"/>
        </w:rPr>
        <w:t xml:space="preserve">Roman </w:t>
      </w:r>
      <w:proofErr w:type="spellStart"/>
      <w:r w:rsidRPr="00D73E1B">
        <w:rPr>
          <w:rFonts w:ascii="Arial"/>
        </w:rPr>
        <w:t>Tarabrin</w:t>
      </w:r>
      <w:proofErr w:type="spellEnd"/>
      <w:r>
        <w:rPr>
          <w:rFonts w:ascii="Arial"/>
        </w:rPr>
        <w:t xml:space="preserve">, MD, MST, </w:t>
      </w:r>
      <w:proofErr w:type="spellStart"/>
      <w:r w:rsidRPr="00D73E1B">
        <w:rPr>
          <w:rFonts w:ascii="Arial"/>
        </w:rPr>
        <w:t>Privolzhsky</w:t>
      </w:r>
      <w:proofErr w:type="spellEnd"/>
      <w:r w:rsidRPr="00D73E1B">
        <w:rPr>
          <w:rFonts w:ascii="Arial"/>
        </w:rPr>
        <w:t xml:space="preserve"> Research Medical University (Nizhny Novgorod, Russia),</w:t>
      </w:r>
      <w:r>
        <w:rPr>
          <w:rFonts w:ascii="Arial"/>
        </w:rPr>
        <w:t xml:space="preserve"> </w:t>
      </w:r>
      <w:proofErr w:type="spellStart"/>
      <w:r w:rsidRPr="00D73E1B">
        <w:rPr>
          <w:rFonts w:ascii="Arial"/>
        </w:rPr>
        <w:t>Sechenov</w:t>
      </w:r>
      <w:proofErr w:type="spellEnd"/>
      <w:r w:rsidRPr="00D73E1B">
        <w:rPr>
          <w:rFonts w:ascii="Arial"/>
        </w:rPr>
        <w:t xml:space="preserve"> First Moscow State Medical University (Moscow, Russia)</w:t>
      </w:r>
    </w:p>
    <w:p w14:paraId="3A07D426"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59629556"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2E2C1CB" w14:textId="77777777" w:rsidR="00DE30EA" w:rsidRDefault="00DE30EA">
      <w:pPr>
        <w:pStyle w:val="Heading3"/>
        <w:spacing w:before="74"/>
        <w:rPr>
          <w:rFonts w:ascii="Tw Cen MT" w:eastAsia="Tw Cen MT" w:hAnsi="Tw Cen MT" w:cs="Tw Cen MT"/>
          <w:b w:val="0"/>
          <w:bCs w:val="0"/>
          <w:sz w:val="18"/>
          <w:szCs w:val="18"/>
        </w:rPr>
      </w:pPr>
      <w:r w:rsidRPr="00DE30EA">
        <w:rPr>
          <w:rFonts w:ascii="Tw Cen MT" w:eastAsia="Tw Cen MT" w:hAnsi="Tw Cen MT" w:cs="Tw Cen MT"/>
          <w:b w:val="0"/>
          <w:bCs w:val="0"/>
          <w:sz w:val="18"/>
          <w:szCs w:val="18"/>
        </w:rPr>
        <w:t>Statement of the Problem: Infertile couples attempting to conceive via assisted reproductive technology (ART), while desiring to maintain their religious affiliation, often seek clarification and advice from their spiritual leaders. The religious representative needs to have clear guidelines for determining ethical options for infertility treatment. Researchers have pointed out that the Russian Orthodox Church lacks clear articulation of ethical boundaries for fertility treatment. As a result, a couple's counselor typically presents different opinions regarding the permissibility of ART that are not officially supported by the Russian Orthodox Church. As a rule, this kind of unauthorized advice leads to a ban on the use of any reproductive intervention, which increases the psychological suffering of infertile couples. The purpose of this study is to describe the counseling process for infertile couples, seeking help in the Orthodox Christian context. Methodology &amp; Theoretical Orientation: Participant observation and in-depth interviews involved ethnographic research using hermeneutic dialogue. The findings were compared to the Orthodox Church's teachings on the treatment of illness and the purpose of the family. Findings: In the discourse of the Orthodox Church, a couple is permitted to refer to reproductive technology if a husband’s and wife’s gametes are used and the number of embryos that will be transferred into the uterus of the wife is formed. Conclusion &amp; Significance: Infertile couples adhering to Christian commandments may seek medical treatment for infertility, including in vitro fertilization with some restrictions. Recommendations found in the research can be extended to assist in counseling of other infertile couples. They may also be helpful to reproductive physicians in discussing a fertility treatment plan with Christian couples.</w:t>
      </w:r>
    </w:p>
    <w:p w14:paraId="30F9C13C" w14:textId="52D528AD" w:rsidR="00AE3E37" w:rsidRDefault="00AE3E37">
      <w:pPr>
        <w:pStyle w:val="BodyText"/>
        <w:spacing w:before="2"/>
        <w:rPr>
          <w:rFonts w:ascii="Arial"/>
          <w:b/>
          <w:sz w:val="16"/>
        </w:rPr>
      </w:pPr>
    </w:p>
    <w:p w14:paraId="7876E77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519402E" w14:textId="77777777" w:rsidR="00A7576D" w:rsidRDefault="00A7576D" w:rsidP="007826DA">
      <w:pPr>
        <w:pStyle w:val="ListParagraph"/>
        <w:numPr>
          <w:ilvl w:val="0"/>
          <w:numId w:val="3"/>
        </w:numPr>
        <w:tabs>
          <w:tab w:val="left" w:pos="384"/>
        </w:tabs>
        <w:spacing w:before="103" w:line="216" w:lineRule="exact"/>
        <w:ind w:right="138" w:hanging="283"/>
        <w:rPr>
          <w:sz w:val="18"/>
        </w:rPr>
      </w:pPr>
      <w:proofErr w:type="spellStart"/>
      <w:r w:rsidRPr="00A7576D">
        <w:rPr>
          <w:sz w:val="18"/>
        </w:rPr>
        <w:t>Delkeskamp</w:t>
      </w:r>
      <w:proofErr w:type="spellEnd"/>
      <w:r w:rsidRPr="00A7576D">
        <w:rPr>
          <w:sz w:val="18"/>
        </w:rPr>
        <w:t>-Hayes, C. (2010). Psychologically informed pastoral care: How serious can it get about God? Orthodox reflections on Christian counseling in bioethics. Christian bioethics, 16(1), 79-116.</w:t>
      </w:r>
    </w:p>
    <w:p w14:paraId="4FA62E9E" w14:textId="311887AA" w:rsidR="007826DA" w:rsidRDefault="007826DA" w:rsidP="007826DA">
      <w:pPr>
        <w:pStyle w:val="ListParagraph"/>
        <w:numPr>
          <w:ilvl w:val="0"/>
          <w:numId w:val="3"/>
        </w:numPr>
        <w:tabs>
          <w:tab w:val="left" w:pos="384"/>
        </w:tabs>
        <w:spacing w:before="103" w:line="216" w:lineRule="exact"/>
        <w:ind w:right="138" w:hanging="283"/>
        <w:rPr>
          <w:sz w:val="18"/>
        </w:rPr>
      </w:pPr>
      <w:r w:rsidRPr="00E85BB3">
        <w:rPr>
          <w:sz w:val="18"/>
        </w:rPr>
        <w:t xml:space="preserve">Engelhardt, H. T. The Foundations of Christian Bioethics. – </w:t>
      </w:r>
      <w:proofErr w:type="spellStart"/>
      <w:r w:rsidRPr="00E85BB3">
        <w:rPr>
          <w:sz w:val="18"/>
        </w:rPr>
        <w:t>Lisse</w:t>
      </w:r>
      <w:proofErr w:type="spellEnd"/>
      <w:r w:rsidRPr="00E85BB3">
        <w:rPr>
          <w:sz w:val="18"/>
        </w:rPr>
        <w:t xml:space="preserve">, </w:t>
      </w:r>
      <w:proofErr w:type="gramStart"/>
      <w:r w:rsidRPr="00E85BB3">
        <w:rPr>
          <w:sz w:val="18"/>
        </w:rPr>
        <w:t>The</w:t>
      </w:r>
      <w:proofErr w:type="gramEnd"/>
      <w:r w:rsidRPr="00E85BB3">
        <w:rPr>
          <w:sz w:val="18"/>
        </w:rPr>
        <w:t xml:space="preserve"> Netherlands: </w:t>
      </w:r>
      <w:proofErr w:type="spellStart"/>
      <w:r w:rsidRPr="00E85BB3">
        <w:rPr>
          <w:sz w:val="18"/>
        </w:rPr>
        <w:t>Swets</w:t>
      </w:r>
      <w:proofErr w:type="spellEnd"/>
      <w:r w:rsidRPr="00E85BB3">
        <w:rPr>
          <w:sz w:val="18"/>
        </w:rPr>
        <w:t xml:space="preserve"> &amp; </w:t>
      </w:r>
      <w:proofErr w:type="spellStart"/>
      <w:r w:rsidRPr="00E85BB3">
        <w:rPr>
          <w:sz w:val="18"/>
        </w:rPr>
        <w:t>Zeitlinger</w:t>
      </w:r>
      <w:proofErr w:type="spellEnd"/>
      <w:r w:rsidRPr="00E85BB3">
        <w:rPr>
          <w:sz w:val="18"/>
        </w:rPr>
        <w:t xml:space="preserve">, 2000. </w:t>
      </w:r>
    </w:p>
    <w:p w14:paraId="6D971628" w14:textId="74025601" w:rsidR="00E85BB3" w:rsidRPr="00E85BB3" w:rsidRDefault="00CE6E82" w:rsidP="00E85BB3">
      <w:pPr>
        <w:pStyle w:val="ListParagraph"/>
        <w:numPr>
          <w:ilvl w:val="0"/>
          <w:numId w:val="3"/>
        </w:numPr>
        <w:rPr>
          <w:sz w:val="18"/>
        </w:rPr>
      </w:pPr>
      <w:proofErr w:type="spellStart"/>
      <w:r w:rsidRPr="00CE6E82">
        <w:rPr>
          <w:sz w:val="18"/>
        </w:rPr>
        <w:t>Iltis</w:t>
      </w:r>
      <w:proofErr w:type="spellEnd"/>
      <w:r w:rsidRPr="00CE6E82">
        <w:rPr>
          <w:sz w:val="18"/>
        </w:rPr>
        <w:t>, A. S., &amp; Cherry, M. J. (2015). Bioethics and the Family: Family Building in the Twenty-First Century. Christian Bioethics, 21(2), 135–143. doi:10.1093/</w:t>
      </w:r>
      <w:proofErr w:type="spellStart"/>
      <w:r w:rsidRPr="00CE6E82">
        <w:rPr>
          <w:sz w:val="18"/>
        </w:rPr>
        <w:t>cb</w:t>
      </w:r>
      <w:proofErr w:type="spellEnd"/>
      <w:r w:rsidRPr="00CE6E82">
        <w:rPr>
          <w:sz w:val="18"/>
        </w:rPr>
        <w:t>/cbv007</w:t>
      </w:r>
      <w:r w:rsidR="00E85BB3" w:rsidRPr="00E85BB3">
        <w:rPr>
          <w:sz w:val="18"/>
        </w:rPr>
        <w:t>.</w:t>
      </w:r>
    </w:p>
    <w:p w14:paraId="2701CA45" w14:textId="07CA4547" w:rsidR="00E85BB3" w:rsidRDefault="00CE6E82" w:rsidP="00E85BB3">
      <w:pPr>
        <w:pStyle w:val="ListParagraph"/>
        <w:numPr>
          <w:ilvl w:val="0"/>
          <w:numId w:val="3"/>
        </w:numPr>
        <w:tabs>
          <w:tab w:val="left" w:pos="384"/>
        </w:tabs>
        <w:spacing w:before="103" w:line="216" w:lineRule="exact"/>
        <w:ind w:right="138" w:hanging="283"/>
        <w:rPr>
          <w:sz w:val="18"/>
        </w:rPr>
      </w:pPr>
      <w:proofErr w:type="spellStart"/>
      <w:r w:rsidRPr="00CE6E82">
        <w:rPr>
          <w:sz w:val="18"/>
        </w:rPr>
        <w:t>Tarabrin</w:t>
      </w:r>
      <w:proofErr w:type="spellEnd"/>
      <w:r w:rsidRPr="00CE6E82">
        <w:rPr>
          <w:sz w:val="18"/>
        </w:rPr>
        <w:t>, R. (2020). Orthodox Perspectives on In Vitro Fertilization in Russia. Christian Bioethics: Non-Ecumenical Studies in Medical Morality, 26(2), 177–204. doi:10.1093/</w:t>
      </w:r>
      <w:proofErr w:type="spellStart"/>
      <w:r w:rsidRPr="00CE6E82">
        <w:rPr>
          <w:sz w:val="18"/>
        </w:rPr>
        <w:t>cb</w:t>
      </w:r>
      <w:proofErr w:type="spellEnd"/>
      <w:r w:rsidRPr="00CE6E82">
        <w:rPr>
          <w:sz w:val="18"/>
        </w:rPr>
        <w:t>/cbaa004</w:t>
      </w:r>
      <w:r w:rsidR="005973B9" w:rsidRPr="005973B9">
        <w:rPr>
          <w:sz w:val="18"/>
        </w:rPr>
        <w:t>.</w:t>
      </w:r>
    </w:p>
    <w:p w14:paraId="49D249BB" w14:textId="6AA31269" w:rsidR="00E85BB3" w:rsidRPr="00E85BB3" w:rsidRDefault="00E85BB3" w:rsidP="00E85BB3">
      <w:pPr>
        <w:pStyle w:val="ListParagraph"/>
        <w:numPr>
          <w:ilvl w:val="0"/>
          <w:numId w:val="3"/>
        </w:numPr>
        <w:tabs>
          <w:tab w:val="left" w:pos="384"/>
        </w:tabs>
        <w:spacing w:before="103" w:line="216" w:lineRule="exact"/>
        <w:ind w:right="138" w:hanging="283"/>
        <w:rPr>
          <w:sz w:val="18"/>
        </w:rPr>
      </w:pPr>
      <w:proofErr w:type="spellStart"/>
      <w:r w:rsidRPr="00E85BB3">
        <w:rPr>
          <w:sz w:val="18"/>
        </w:rPr>
        <w:t>Shok</w:t>
      </w:r>
      <w:proofErr w:type="spellEnd"/>
      <w:r w:rsidRPr="00E85BB3">
        <w:rPr>
          <w:sz w:val="18"/>
        </w:rPr>
        <w:t xml:space="preserve">, N. (2020) “From ‘Bioethics’ to ‘Christian Bioethics’: Significance of H.T. Engelhardt’s Legacy in Today’s Russia”, </w:t>
      </w:r>
      <w:proofErr w:type="spellStart"/>
      <w:r w:rsidRPr="00E85BB3">
        <w:rPr>
          <w:sz w:val="18"/>
        </w:rPr>
        <w:t>Gosudarstvo</w:t>
      </w:r>
      <w:proofErr w:type="spellEnd"/>
      <w:r w:rsidRPr="00E85BB3">
        <w:rPr>
          <w:sz w:val="18"/>
        </w:rPr>
        <w:t xml:space="preserve">, </w:t>
      </w:r>
      <w:proofErr w:type="spellStart"/>
      <w:r w:rsidRPr="00E85BB3">
        <w:rPr>
          <w:sz w:val="18"/>
        </w:rPr>
        <w:t>religiia</w:t>
      </w:r>
      <w:proofErr w:type="spellEnd"/>
      <w:r w:rsidRPr="00E85BB3">
        <w:rPr>
          <w:sz w:val="18"/>
        </w:rPr>
        <w:t xml:space="preserve">, </w:t>
      </w:r>
      <w:proofErr w:type="spellStart"/>
      <w:r w:rsidRPr="00E85BB3">
        <w:rPr>
          <w:sz w:val="18"/>
        </w:rPr>
        <w:t>tserkov</w:t>
      </w:r>
      <w:proofErr w:type="spellEnd"/>
      <w:r w:rsidRPr="00E85BB3">
        <w:rPr>
          <w:sz w:val="18"/>
        </w:rPr>
        <w:t xml:space="preserve">’ v </w:t>
      </w:r>
      <w:proofErr w:type="spellStart"/>
      <w:r w:rsidRPr="00E85BB3">
        <w:rPr>
          <w:sz w:val="18"/>
        </w:rPr>
        <w:t>Rossii</w:t>
      </w:r>
      <w:proofErr w:type="spellEnd"/>
      <w:r w:rsidRPr="00E85BB3">
        <w:rPr>
          <w:sz w:val="18"/>
        </w:rPr>
        <w:t xml:space="preserve"> i </w:t>
      </w:r>
      <w:proofErr w:type="spellStart"/>
      <w:r w:rsidRPr="00E85BB3">
        <w:rPr>
          <w:sz w:val="18"/>
        </w:rPr>
        <w:t>za</w:t>
      </w:r>
      <w:proofErr w:type="spellEnd"/>
      <w:r w:rsidRPr="00E85BB3">
        <w:rPr>
          <w:sz w:val="18"/>
        </w:rPr>
        <w:t xml:space="preserve"> </w:t>
      </w:r>
      <w:proofErr w:type="spellStart"/>
      <w:r w:rsidRPr="00E85BB3">
        <w:rPr>
          <w:sz w:val="18"/>
        </w:rPr>
        <w:t>rubezhom</w:t>
      </w:r>
      <w:proofErr w:type="spellEnd"/>
      <w:r w:rsidRPr="00E85BB3">
        <w:rPr>
          <w:sz w:val="18"/>
        </w:rPr>
        <w:t xml:space="preserve"> 38(4): 7–43.] https://doi.org/10.22394/2073-7203-2020-38-4-7-43   </w:t>
      </w:r>
    </w:p>
    <w:p w14:paraId="01E1EFB9" w14:textId="33C4790F"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14:paraId="1364FDF5" w14:textId="77777777" w:rsidR="00D73E1B" w:rsidRDefault="00D73E1B" w:rsidP="005973B9">
      <w:pPr>
        <w:pStyle w:val="BodyText"/>
        <w:spacing w:before="85" w:line="216" w:lineRule="exact"/>
        <w:ind w:left="383" w:right="138" w:hanging="284"/>
        <w:jc w:val="both"/>
        <w:rPr>
          <w:rFonts w:ascii="Calibri" w:hAnsi="Calibri"/>
        </w:rPr>
      </w:pPr>
    </w:p>
    <w:p w14:paraId="53B62F1F" w14:textId="77777777" w:rsidR="00AE3E37" w:rsidRPr="008756E6" w:rsidRDefault="00AE3E37" w:rsidP="008756E6">
      <w:pPr>
        <w:tabs>
          <w:tab w:val="left" w:pos="384"/>
        </w:tabs>
        <w:ind w:right="117"/>
      </w:pPr>
    </w:p>
    <w:p w14:paraId="0F3AAAD5"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8B86D71" w14:textId="1968261F" w:rsidR="00AE3E37" w:rsidRDefault="00AE3E37">
      <w:pPr>
        <w:pStyle w:val="BodyText"/>
        <w:rPr>
          <w:rFonts w:ascii="Calibri"/>
          <w:sz w:val="20"/>
        </w:rPr>
      </w:pPr>
    </w:p>
    <w:p w14:paraId="4B8B22D7" w14:textId="77777777" w:rsidR="00D73E1B" w:rsidRDefault="00D73E1B">
      <w:pPr>
        <w:pStyle w:val="BodyText"/>
        <w:rPr>
          <w:rFonts w:ascii="Calibri"/>
          <w:sz w:val="20"/>
        </w:rPr>
      </w:pPr>
    </w:p>
    <w:p w14:paraId="364B6D81" w14:textId="5445D96A"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ABDAB7F" wp14:editId="5C8FE8B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A7B70A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6B4C575" w14:textId="5B60CA95" w:rsidR="00AE3E37" w:rsidRDefault="00D73E1B" w:rsidP="00404E5B">
      <w:pPr>
        <w:spacing w:before="92"/>
        <w:ind w:right="4234"/>
        <w:rPr>
          <w:rFonts w:ascii="Arial"/>
        </w:rPr>
      </w:pPr>
      <w:r>
        <w:rPr>
          <w:noProof/>
          <w:lang w:val="en-IN" w:eastAsia="en-IN"/>
        </w:rPr>
        <w:drawing>
          <wp:anchor distT="0" distB="0" distL="114300" distR="114300" simplePos="0" relativeHeight="251658240" behindDoc="1" locked="0" layoutInCell="1" allowOverlap="1" wp14:anchorId="03A488CD" wp14:editId="7CE5F4F3">
            <wp:simplePos x="0" y="0"/>
            <wp:positionH relativeFrom="column">
              <wp:posOffset>107950</wp:posOffset>
            </wp:positionH>
            <wp:positionV relativeFrom="paragraph">
              <wp:posOffset>56515</wp:posOffset>
            </wp:positionV>
            <wp:extent cx="935355" cy="1264920"/>
            <wp:effectExtent l="0" t="0" r="0" b="0"/>
            <wp:wrapTight wrapText="bothSides">
              <wp:wrapPolygon edited="0">
                <wp:start x="0" y="0"/>
                <wp:lineTo x="0" y="21145"/>
                <wp:lineTo x="21116" y="21145"/>
                <wp:lineTo x="21116"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5355" cy="126492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2E418047" w14:textId="77777777" w:rsidR="00800665" w:rsidRDefault="00800665">
      <w:pPr>
        <w:spacing w:before="41" w:line="154" w:lineRule="exact"/>
        <w:ind w:left="213" w:right="231"/>
        <w:jc w:val="both"/>
        <w:rPr>
          <w:rFonts w:ascii="Arial"/>
          <w:sz w:val="14"/>
        </w:rPr>
      </w:pPr>
    </w:p>
    <w:p w14:paraId="11C64AB6" w14:textId="1202BFFF" w:rsidR="00D73E1B" w:rsidRPr="00D73E1B" w:rsidRDefault="00800665" w:rsidP="00D73E1B">
      <w:pPr>
        <w:spacing w:before="41" w:line="154" w:lineRule="exact"/>
        <w:ind w:left="213" w:right="231"/>
        <w:jc w:val="both"/>
        <w:rPr>
          <w:rFonts w:ascii="Arial"/>
          <w:sz w:val="14"/>
        </w:rPr>
      </w:pPr>
      <w:r>
        <w:rPr>
          <w:rFonts w:ascii="Arial"/>
          <w:sz w:val="14"/>
        </w:rPr>
        <w:t xml:space="preserve">Roman </w:t>
      </w:r>
      <w:proofErr w:type="spellStart"/>
      <w:r>
        <w:rPr>
          <w:rFonts w:ascii="Arial"/>
          <w:sz w:val="14"/>
        </w:rPr>
        <w:t>Tarabrin</w:t>
      </w:r>
      <w:proofErr w:type="spellEnd"/>
      <w:r>
        <w:rPr>
          <w:rFonts w:ascii="Arial"/>
          <w:sz w:val="14"/>
        </w:rPr>
        <w:t xml:space="preserve"> is a researcher</w:t>
      </w:r>
      <w:r w:rsidR="00D73E1B">
        <w:rPr>
          <w:rFonts w:ascii="Arial"/>
          <w:sz w:val="14"/>
        </w:rPr>
        <w:t xml:space="preserve"> of</w:t>
      </w:r>
      <w:r>
        <w:rPr>
          <w:rFonts w:ascii="Arial"/>
          <w:sz w:val="14"/>
        </w:rPr>
        <w:t xml:space="preserve"> </w:t>
      </w:r>
      <w:proofErr w:type="spellStart"/>
      <w:r w:rsidRPr="00800665">
        <w:rPr>
          <w:rFonts w:ascii="Arial"/>
          <w:sz w:val="14"/>
        </w:rPr>
        <w:t>Privolzhsky</w:t>
      </w:r>
      <w:proofErr w:type="spellEnd"/>
      <w:r w:rsidRPr="00800665">
        <w:rPr>
          <w:rFonts w:ascii="Arial"/>
          <w:sz w:val="14"/>
        </w:rPr>
        <w:t xml:space="preserve"> Research Medical University</w:t>
      </w:r>
      <w:r>
        <w:rPr>
          <w:rFonts w:ascii="Arial"/>
          <w:sz w:val="14"/>
        </w:rPr>
        <w:t xml:space="preserve"> (</w:t>
      </w:r>
      <w:r w:rsidRPr="00800665">
        <w:rPr>
          <w:rFonts w:ascii="Arial"/>
          <w:sz w:val="14"/>
        </w:rPr>
        <w:t>Nizhny Novgorod, Russia</w:t>
      </w:r>
      <w:r>
        <w:rPr>
          <w:rFonts w:ascii="Arial"/>
          <w:sz w:val="14"/>
        </w:rPr>
        <w:t>)</w:t>
      </w:r>
      <w:proofErr w:type="gramStart"/>
      <w:r>
        <w:rPr>
          <w:rFonts w:ascii="Arial"/>
          <w:sz w:val="14"/>
        </w:rPr>
        <w:t>,an</w:t>
      </w:r>
      <w:proofErr w:type="gramEnd"/>
      <w:r>
        <w:rPr>
          <w:rFonts w:ascii="Arial"/>
          <w:sz w:val="14"/>
        </w:rPr>
        <w:t xml:space="preserve"> assistant professor of </w:t>
      </w:r>
      <w:proofErr w:type="spellStart"/>
      <w:r w:rsidRPr="00800665">
        <w:rPr>
          <w:rFonts w:ascii="Arial"/>
          <w:sz w:val="14"/>
        </w:rPr>
        <w:t>Sechenov</w:t>
      </w:r>
      <w:proofErr w:type="spellEnd"/>
      <w:r w:rsidRPr="00800665">
        <w:rPr>
          <w:rFonts w:ascii="Arial"/>
          <w:sz w:val="14"/>
        </w:rPr>
        <w:t xml:space="preserve"> First Moscow State Medical University </w:t>
      </w:r>
      <w:r>
        <w:rPr>
          <w:rFonts w:ascii="Arial"/>
          <w:sz w:val="14"/>
        </w:rPr>
        <w:t>(</w:t>
      </w:r>
      <w:r w:rsidRPr="00800665">
        <w:rPr>
          <w:rFonts w:ascii="Arial"/>
          <w:sz w:val="14"/>
        </w:rPr>
        <w:t>Moscow, Russia</w:t>
      </w:r>
      <w:r>
        <w:rPr>
          <w:rFonts w:ascii="Arial"/>
          <w:sz w:val="14"/>
        </w:rPr>
        <w:t>)</w:t>
      </w:r>
      <w:r w:rsidR="00D73E1B">
        <w:rPr>
          <w:rFonts w:ascii="Arial"/>
          <w:sz w:val="14"/>
        </w:rPr>
        <w:t xml:space="preserve">, working </w:t>
      </w:r>
      <w:r w:rsidR="00D73E1B" w:rsidRPr="00D73E1B">
        <w:rPr>
          <w:rFonts w:ascii="Arial"/>
          <w:sz w:val="14"/>
        </w:rPr>
        <w:t xml:space="preserve">within the project of the Russian Science Foundation </w:t>
      </w:r>
      <w:r w:rsidR="00D73E1B" w:rsidRPr="00D73E1B">
        <w:rPr>
          <w:rFonts w:ascii="Arial"/>
          <w:sz w:val="14"/>
        </w:rPr>
        <w:t>‘</w:t>
      </w:r>
      <w:r w:rsidR="00D73E1B" w:rsidRPr="00D73E1B">
        <w:rPr>
          <w:rFonts w:ascii="Arial"/>
          <w:sz w:val="14"/>
        </w:rPr>
        <w:t>Problems of bioethics in the historical context and socio-cultural dynamics of society</w:t>
      </w:r>
      <w:r w:rsidR="00D73E1B" w:rsidRPr="00D73E1B">
        <w:rPr>
          <w:rFonts w:ascii="Arial"/>
          <w:sz w:val="14"/>
        </w:rPr>
        <w:t>’</w:t>
      </w:r>
      <w:r w:rsidR="00D73E1B" w:rsidRPr="00D73E1B">
        <w:rPr>
          <w:rFonts w:ascii="Arial"/>
          <w:sz w:val="14"/>
        </w:rPr>
        <w:t xml:space="preserve"> (</w:t>
      </w:r>
      <w:r w:rsidR="00D73E1B" w:rsidRPr="00D73E1B">
        <w:rPr>
          <w:rFonts w:ascii="Arial" w:hAnsi="Arial" w:cs="Arial"/>
          <w:sz w:val="14"/>
        </w:rPr>
        <w:t>№</w:t>
      </w:r>
      <w:r w:rsidR="00D73E1B" w:rsidRPr="00D73E1B">
        <w:rPr>
          <w:rFonts w:ascii="Arial"/>
          <w:sz w:val="14"/>
        </w:rPr>
        <w:t xml:space="preserve"> 18-78-10018</w:t>
      </w:r>
      <w:r w:rsidR="00D73E1B">
        <w:rPr>
          <w:rFonts w:ascii="Arial"/>
          <w:sz w:val="14"/>
        </w:rPr>
        <w:t>)</w:t>
      </w:r>
      <w:r>
        <w:rPr>
          <w:rFonts w:ascii="Arial"/>
          <w:sz w:val="14"/>
        </w:rPr>
        <w:t>. He has his</w:t>
      </w:r>
      <w:r w:rsidR="00A9710C">
        <w:rPr>
          <w:rFonts w:ascii="Arial"/>
          <w:sz w:val="14"/>
        </w:rPr>
        <w:t xml:space="preserve"> expertise in </w:t>
      </w:r>
      <w:r>
        <w:rPr>
          <w:rFonts w:ascii="Arial"/>
          <w:sz w:val="14"/>
        </w:rPr>
        <w:t>ethics of reproductive technologies.</w:t>
      </w:r>
      <w:r w:rsidR="00D73E1B">
        <w:rPr>
          <w:rFonts w:ascii="Arial"/>
          <w:sz w:val="14"/>
        </w:rPr>
        <w:t xml:space="preserve"> Counseling of religious infertile couples, he </w:t>
      </w:r>
      <w:r w:rsidR="00D73E1B" w:rsidRPr="00D73E1B">
        <w:rPr>
          <w:rFonts w:ascii="Arial"/>
          <w:sz w:val="14"/>
        </w:rPr>
        <w:t>created approaches to ethical dilemmas within the religious community that can be extrapolated for an interdisciplinary analysis of the provisions of various ethical systems as compared to a religious understanding of human continuation in the postmodern. The Russian experience of interaction between religious and secular systems of ethics, analyzed by the author, provides significant impetus to the development of a bioethical health agenda in a multireligious and multicultural society from a global perspective.</w:t>
      </w:r>
    </w:p>
    <w:p w14:paraId="2840D47C" w14:textId="14846325" w:rsidR="00AE3E37" w:rsidRDefault="00A9710C">
      <w:pPr>
        <w:spacing w:before="62"/>
        <w:ind w:left="4217" w:right="4235"/>
        <w:jc w:val="center"/>
        <w:rPr>
          <w:rFonts w:ascii="Arial"/>
          <w:sz w:val="14"/>
        </w:rPr>
      </w:pPr>
      <w:r>
        <w:rPr>
          <w:rFonts w:ascii="Arial"/>
          <w:sz w:val="14"/>
        </w:rPr>
        <w:t>Email:</w:t>
      </w:r>
      <w:r w:rsidR="00800665" w:rsidRPr="00800665">
        <w:rPr>
          <w:rFonts w:ascii="Arial"/>
          <w:sz w:val="14"/>
        </w:rPr>
        <w:t xml:space="preserve"> tarabrin_r_e@staff.sechenov.ru</w:t>
      </w:r>
    </w:p>
    <w:p w14:paraId="5A245C0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424D139" wp14:editId="537B533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32EEC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FEB8795" w14:textId="77777777" w:rsidR="00AE3E37" w:rsidRDefault="00AE3E37">
      <w:pPr>
        <w:pStyle w:val="BodyText"/>
        <w:rPr>
          <w:rFonts w:ascii="Arial"/>
          <w:sz w:val="20"/>
        </w:rPr>
      </w:pPr>
    </w:p>
    <w:p w14:paraId="49BD2F74" w14:textId="77777777" w:rsidR="00AE3E37" w:rsidRDefault="00AE3E37">
      <w:pPr>
        <w:pStyle w:val="BodyText"/>
        <w:rPr>
          <w:rFonts w:ascii="Arial"/>
          <w:sz w:val="20"/>
        </w:rPr>
      </w:pPr>
    </w:p>
    <w:p w14:paraId="79D24430" w14:textId="77777777" w:rsidR="00AE3E37" w:rsidRDefault="00AE3E37">
      <w:pPr>
        <w:pStyle w:val="BodyText"/>
        <w:spacing w:before="7"/>
        <w:rPr>
          <w:rFonts w:ascii="Arial"/>
          <w:sz w:val="29"/>
        </w:rPr>
      </w:pPr>
    </w:p>
    <w:p w14:paraId="128ED77B" w14:textId="77777777" w:rsidR="00AE3E37" w:rsidRDefault="00A9710C" w:rsidP="000534A1">
      <w:pPr>
        <w:spacing w:before="39"/>
        <w:ind w:left="100"/>
        <w:rPr>
          <w:rFonts w:ascii="Minion Pro"/>
          <w:b/>
          <w:sz w:val="20"/>
        </w:rPr>
      </w:pPr>
      <w:r w:rsidRPr="00B21A57">
        <w:rPr>
          <w:rFonts w:ascii="Minion Pro"/>
          <w:b/>
          <w:sz w:val="20"/>
        </w:rPr>
        <w:t>Notes/Comments:</w:t>
      </w:r>
    </w:p>
    <w:p w14:paraId="0CED4ED9" w14:textId="77777777" w:rsidR="00EA7D51" w:rsidRDefault="00EA7D51" w:rsidP="000534A1">
      <w:pPr>
        <w:spacing w:before="39"/>
        <w:ind w:left="100"/>
        <w:rPr>
          <w:rFonts w:ascii="Minion Pro"/>
          <w:b/>
          <w:sz w:val="20"/>
        </w:rPr>
      </w:pPr>
    </w:p>
    <w:p w14:paraId="06F6810D" w14:textId="77777777" w:rsidR="00EA7D51" w:rsidRDefault="00EA7D51" w:rsidP="000534A1">
      <w:pPr>
        <w:spacing w:before="39"/>
        <w:ind w:left="100"/>
        <w:rPr>
          <w:rFonts w:ascii="Minion Pro"/>
          <w:b/>
          <w:sz w:val="20"/>
        </w:rPr>
      </w:pPr>
    </w:p>
    <w:p w14:paraId="39C17543" w14:textId="19864862"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00665">
        <w:rPr>
          <w:sz w:val="20"/>
          <w:szCs w:val="20"/>
          <w:lang w:val="en-NZ"/>
        </w:rPr>
        <w:t xml:space="preserve">Roman </w:t>
      </w:r>
      <w:proofErr w:type="spellStart"/>
      <w:r w:rsidR="00800665">
        <w:rPr>
          <w:sz w:val="20"/>
          <w:szCs w:val="20"/>
          <w:lang w:val="en-NZ"/>
        </w:rPr>
        <w:t>Evgenjevich</w:t>
      </w:r>
      <w:proofErr w:type="spellEnd"/>
      <w:r w:rsidR="00800665">
        <w:rPr>
          <w:sz w:val="20"/>
          <w:szCs w:val="20"/>
          <w:lang w:val="en-NZ"/>
        </w:rPr>
        <w:t xml:space="preserve"> </w:t>
      </w:r>
      <w:proofErr w:type="spellStart"/>
      <w:r w:rsidR="00800665">
        <w:rPr>
          <w:sz w:val="20"/>
          <w:szCs w:val="20"/>
          <w:lang w:val="en-NZ"/>
        </w:rPr>
        <w:t>Tarabrin</w:t>
      </w:r>
      <w:proofErr w:type="spellEnd"/>
      <w:r w:rsidRPr="00F35A62">
        <w:rPr>
          <w:sz w:val="20"/>
          <w:szCs w:val="20"/>
          <w:lang w:val="en-NZ"/>
        </w:rPr>
        <w:br/>
        <w:t>Contact number:</w:t>
      </w:r>
      <w:r w:rsidR="00800665" w:rsidRPr="00800665">
        <w:rPr>
          <w:rFonts w:asciiTheme="minorHAnsi" w:hAnsiTheme="minorHAnsi"/>
          <w:sz w:val="20"/>
          <w:szCs w:val="20"/>
        </w:rPr>
        <w:t xml:space="preserve"> </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14:paraId="4DBC6541" w14:textId="46CBA9D3"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800665">
        <w:rPr>
          <w:rFonts w:ascii="Calibri" w:hAnsi="Calibri" w:cs="Calibri"/>
          <w:sz w:val="20"/>
          <w:szCs w:val="20"/>
        </w:rPr>
        <w:t>Ethics</w:t>
      </w:r>
      <w:r w:rsidRPr="00F35A62">
        <w:rPr>
          <w:sz w:val="20"/>
          <w:szCs w:val="20"/>
          <w:lang w:val="en-NZ"/>
        </w:rPr>
        <w:br/>
        <w:t>Category: (Oral presentation/ Poster presentation)</w:t>
      </w:r>
      <w:r w:rsidR="00800665">
        <w:rPr>
          <w:sz w:val="20"/>
          <w:szCs w:val="20"/>
          <w:lang w:val="en-NZ"/>
        </w:rPr>
        <w:t xml:space="preserve"> Oral presentation</w:t>
      </w:r>
      <w:r w:rsidRPr="00F35A62">
        <w:rPr>
          <w:sz w:val="20"/>
          <w:szCs w:val="20"/>
          <w:lang w:val="en-NZ"/>
        </w:rPr>
        <w:br/>
      </w:r>
    </w:p>
    <w:sectPr w:rsidR="00EA7D51" w:rsidRPr="00F35A62" w:rsidSect="00800665">
      <w:type w:val="continuous"/>
      <w:pgSz w:w="11910" w:h="16840"/>
      <w:pgMar w:top="995"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EBB1DC" w14:textId="77777777" w:rsidR="001B11F6" w:rsidRDefault="001B11F6">
      <w:r>
        <w:separator/>
      </w:r>
    </w:p>
  </w:endnote>
  <w:endnote w:type="continuationSeparator" w:id="0">
    <w:p w14:paraId="68489646" w14:textId="77777777" w:rsidR="001B11F6" w:rsidRDefault="001B1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45E6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555B51F" wp14:editId="44121B8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1D74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FDB34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555B51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191D74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FDB34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5B7363B" wp14:editId="60A838A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639C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54435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B7363B"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B3639C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A54435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091E929" wp14:editId="68AA8DD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86E3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63959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91E92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AC86E3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63959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1EC261" w14:textId="77777777" w:rsidR="001B11F6" w:rsidRDefault="001B11F6">
      <w:r>
        <w:separator/>
      </w:r>
    </w:p>
  </w:footnote>
  <w:footnote w:type="continuationSeparator" w:id="0">
    <w:p w14:paraId="065A16D6" w14:textId="77777777" w:rsidR="001B11F6" w:rsidRDefault="001B11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29F"/>
    <w:rsid w:val="000534A1"/>
    <w:rsid w:val="0006797A"/>
    <w:rsid w:val="000B4CAA"/>
    <w:rsid w:val="000E2911"/>
    <w:rsid w:val="001263DF"/>
    <w:rsid w:val="001B11F6"/>
    <w:rsid w:val="00292ED9"/>
    <w:rsid w:val="00351D9B"/>
    <w:rsid w:val="00380299"/>
    <w:rsid w:val="00404E5B"/>
    <w:rsid w:val="00414F7B"/>
    <w:rsid w:val="004355DC"/>
    <w:rsid w:val="004749B4"/>
    <w:rsid w:val="00475D20"/>
    <w:rsid w:val="00494130"/>
    <w:rsid w:val="004F3523"/>
    <w:rsid w:val="0055149E"/>
    <w:rsid w:val="00590D60"/>
    <w:rsid w:val="005973B9"/>
    <w:rsid w:val="005B3A56"/>
    <w:rsid w:val="005F3E16"/>
    <w:rsid w:val="006060CE"/>
    <w:rsid w:val="0061505C"/>
    <w:rsid w:val="0063497F"/>
    <w:rsid w:val="00714354"/>
    <w:rsid w:val="007826DA"/>
    <w:rsid w:val="00800665"/>
    <w:rsid w:val="00873DF0"/>
    <w:rsid w:val="008756E6"/>
    <w:rsid w:val="00897EC5"/>
    <w:rsid w:val="008A0763"/>
    <w:rsid w:val="008E5477"/>
    <w:rsid w:val="00967920"/>
    <w:rsid w:val="009B2D44"/>
    <w:rsid w:val="00A07E82"/>
    <w:rsid w:val="00A52075"/>
    <w:rsid w:val="00A7576D"/>
    <w:rsid w:val="00A90CF9"/>
    <w:rsid w:val="00A9710C"/>
    <w:rsid w:val="00AE3E37"/>
    <w:rsid w:val="00B21A57"/>
    <w:rsid w:val="00BE6743"/>
    <w:rsid w:val="00C33602"/>
    <w:rsid w:val="00C56C74"/>
    <w:rsid w:val="00CD6F55"/>
    <w:rsid w:val="00CE6E82"/>
    <w:rsid w:val="00D73E1B"/>
    <w:rsid w:val="00DE30EA"/>
    <w:rsid w:val="00DE3104"/>
    <w:rsid w:val="00DE6170"/>
    <w:rsid w:val="00E30AAC"/>
    <w:rsid w:val="00E85BB3"/>
    <w:rsid w:val="00E95D97"/>
    <w:rsid w:val="00EA7D51"/>
    <w:rsid w:val="00F046EA"/>
    <w:rsid w:val="00F312EA"/>
    <w:rsid w:val="00F35A62"/>
    <w:rsid w:val="00F41BE7"/>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92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60962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654</Words>
  <Characters>3734</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World Nursing 2021</cp:lastModifiedBy>
  <cp:revision>2</cp:revision>
  <dcterms:created xsi:type="dcterms:W3CDTF">2022-06-21T07:29:00Z</dcterms:created>
  <dcterms:modified xsi:type="dcterms:W3CDTF">2022-06-21T07:29:00Z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