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BCD" w:rsidRDefault="00B22A31" w:rsidP="00DD3886">
      <w:pPr>
        <w:jc w:val="both"/>
        <w:rPr>
          <w:rFonts w:eastAsia="MS PGothic"/>
          <w:b/>
          <w:color w:val="000000"/>
          <w:sz w:val="28"/>
          <w:szCs w:val="28"/>
        </w:rPr>
      </w:pPr>
      <w:r>
        <w:rPr>
          <w:noProof/>
          <w:lang w:val="en-IN" w:eastAsia="en-IN"/>
        </w:rPr>
        <w:drawing>
          <wp:anchor distT="0" distB="0" distL="114300" distR="114300" simplePos="0" relativeHeight="251657728" behindDoc="0" locked="0" layoutInCell="1" allowOverlap="1">
            <wp:simplePos x="0" y="0"/>
            <wp:positionH relativeFrom="column">
              <wp:posOffset>4779010</wp:posOffset>
            </wp:positionH>
            <wp:positionV relativeFrom="paragraph">
              <wp:posOffset>81280</wp:posOffset>
            </wp:positionV>
            <wp:extent cx="1227455" cy="1360170"/>
            <wp:effectExtent l="0" t="0" r="0" b="0"/>
            <wp:wrapSquare wrapText="bothSides"/>
            <wp:docPr id="2" name="Picture 2" descr="Suchk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chkov"/>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7455" cy="1360170"/>
                    </a:xfrm>
                    <a:prstGeom prst="rect">
                      <a:avLst/>
                    </a:prstGeom>
                    <a:noFill/>
                    <a:ln>
                      <a:noFill/>
                    </a:ln>
                  </pic:spPr>
                </pic:pic>
              </a:graphicData>
            </a:graphic>
            <wp14:sizeRelH relativeFrom="page">
              <wp14:pctWidth>0</wp14:pctWidth>
            </wp14:sizeRelH>
            <wp14:sizeRelV relativeFrom="page">
              <wp14:pctHeight>0</wp14:pctHeight>
            </wp14:sizeRelV>
          </wp:anchor>
        </w:drawing>
      </w:r>
      <w:r w:rsidR="00DD3886" w:rsidRPr="00DD3886">
        <w:rPr>
          <w:rFonts w:eastAsia="MS PGothic"/>
          <w:b/>
          <w:color w:val="000000"/>
          <w:sz w:val="28"/>
          <w:szCs w:val="28"/>
        </w:rPr>
        <w:t>Personalized and Precision Medicine (PPM) as a Unique Healthcare Model to Secure the</w:t>
      </w:r>
      <w:r w:rsidR="00DD3886">
        <w:rPr>
          <w:rFonts w:eastAsia="MS PGothic"/>
          <w:b/>
          <w:color w:val="000000"/>
          <w:sz w:val="28"/>
          <w:szCs w:val="28"/>
        </w:rPr>
        <w:t xml:space="preserve"> </w:t>
      </w:r>
      <w:r w:rsidR="00DD3886" w:rsidRPr="00DD3886">
        <w:rPr>
          <w:rFonts w:eastAsia="MS PGothic"/>
          <w:b/>
          <w:color w:val="000000"/>
          <w:sz w:val="28"/>
          <w:szCs w:val="28"/>
        </w:rPr>
        <w:t>Human Healthcare, Wellness and Biosafety through The View of Public Health</w:t>
      </w:r>
    </w:p>
    <w:p w:rsidR="00DD3886" w:rsidRPr="00DD3886" w:rsidRDefault="00DD3886" w:rsidP="00DD3886">
      <w:pPr>
        <w:spacing w:after="60"/>
        <w:jc w:val="center"/>
        <w:rPr>
          <w:rFonts w:eastAsia="Calibri"/>
          <w:b/>
          <w:sz w:val="20"/>
          <w:szCs w:val="20"/>
          <w:lang w:val="en-US" w:eastAsia="en-US"/>
        </w:rPr>
      </w:pPr>
      <w:bookmarkStart w:id="0" w:name="_GoBack"/>
      <w:r w:rsidRPr="00DD3886">
        <w:rPr>
          <w:rFonts w:eastAsia="Calibri"/>
          <w:b/>
          <w:sz w:val="20"/>
          <w:szCs w:val="20"/>
          <w:lang w:val="en-US" w:eastAsia="en-US"/>
        </w:rPr>
        <w:t>Sergey</w:t>
      </w:r>
      <w:bookmarkEnd w:id="0"/>
      <w:r w:rsidRPr="00DD3886">
        <w:rPr>
          <w:rFonts w:eastAsia="Calibri"/>
          <w:b/>
          <w:sz w:val="20"/>
          <w:szCs w:val="20"/>
          <w:lang w:val="en-US" w:eastAsia="en-US"/>
        </w:rPr>
        <w:t xml:space="preserve"> Suchkov</w:t>
      </w:r>
      <w:r w:rsidRPr="00DD3886">
        <w:rPr>
          <w:rFonts w:eastAsia="Calibri"/>
          <w:b/>
          <w:sz w:val="20"/>
          <w:szCs w:val="20"/>
          <w:vertAlign w:val="superscript"/>
          <w:lang w:val="en-US" w:eastAsia="en-US"/>
        </w:rPr>
        <w:t>1-5</w:t>
      </w:r>
    </w:p>
    <w:p w:rsidR="00DD3886" w:rsidRPr="00DD3886" w:rsidRDefault="00DD3886" w:rsidP="00DD3886">
      <w:pPr>
        <w:spacing w:after="60"/>
        <w:jc w:val="both"/>
        <w:rPr>
          <w:rFonts w:eastAsia="Calibri"/>
          <w:sz w:val="20"/>
          <w:szCs w:val="20"/>
          <w:lang w:val="en-US" w:eastAsia="en-US"/>
        </w:rPr>
      </w:pPr>
      <w:r w:rsidRPr="00DD3886">
        <w:rPr>
          <w:rFonts w:eastAsia="Calibri"/>
          <w:sz w:val="20"/>
          <w:szCs w:val="20"/>
          <w:lang w:val="en-US" w:eastAsia="en-US"/>
        </w:rPr>
        <w:t>William Thilly</w:t>
      </w:r>
      <w:r w:rsidRPr="00DD3886">
        <w:rPr>
          <w:rFonts w:eastAsia="Calibri"/>
          <w:sz w:val="20"/>
          <w:szCs w:val="20"/>
          <w:vertAlign w:val="superscript"/>
          <w:lang w:val="en-US" w:eastAsia="en-US"/>
        </w:rPr>
        <w:t>6,7</w:t>
      </w:r>
      <w:r w:rsidRPr="00DD3886">
        <w:rPr>
          <w:rFonts w:eastAsia="Calibri"/>
          <w:sz w:val="20"/>
          <w:szCs w:val="20"/>
          <w:lang w:val="en-US" w:eastAsia="en-US"/>
        </w:rPr>
        <w:t>, Shawn Murphy</w:t>
      </w:r>
      <w:r w:rsidRPr="00DD3886">
        <w:rPr>
          <w:rFonts w:eastAsia="Calibri"/>
          <w:sz w:val="20"/>
          <w:szCs w:val="20"/>
          <w:vertAlign w:val="superscript"/>
          <w:lang w:val="en-US" w:eastAsia="en-US"/>
        </w:rPr>
        <w:t>8</w:t>
      </w:r>
      <w:r w:rsidRPr="00DD3886">
        <w:rPr>
          <w:rFonts w:eastAsia="Calibri"/>
          <w:sz w:val="20"/>
          <w:szCs w:val="20"/>
          <w:lang w:val="en-US" w:eastAsia="en-US"/>
        </w:rPr>
        <w:t>, Daniel Scherman</w:t>
      </w:r>
      <w:r w:rsidRPr="00DD3886">
        <w:rPr>
          <w:rFonts w:eastAsia="Calibri"/>
          <w:sz w:val="20"/>
          <w:szCs w:val="20"/>
          <w:vertAlign w:val="superscript"/>
          <w:lang w:val="en-US" w:eastAsia="en-US"/>
        </w:rPr>
        <w:t>16.17</w:t>
      </w:r>
      <w:r w:rsidRPr="00DD3886">
        <w:rPr>
          <w:rFonts w:eastAsia="Calibri"/>
          <w:sz w:val="20"/>
          <w:szCs w:val="20"/>
          <w:lang w:val="en-US" w:eastAsia="en-US"/>
        </w:rPr>
        <w:t>, Andrew D. Miller</w:t>
      </w:r>
      <w:r w:rsidRPr="00DD3886">
        <w:rPr>
          <w:rFonts w:eastAsia="Calibri"/>
          <w:sz w:val="20"/>
          <w:szCs w:val="20"/>
          <w:vertAlign w:val="superscript"/>
          <w:lang w:val="en-US" w:eastAsia="en-US"/>
        </w:rPr>
        <w:t>12-15</w:t>
      </w:r>
      <w:r w:rsidRPr="00DD3886">
        <w:rPr>
          <w:rFonts w:eastAsia="Calibri"/>
          <w:sz w:val="20"/>
          <w:szCs w:val="20"/>
          <w:lang w:val="en-US" w:eastAsia="en-US"/>
        </w:rPr>
        <w:t>, Elena A</w:t>
      </w:r>
      <w:r w:rsidRPr="00DD3886">
        <w:rPr>
          <w:rFonts w:eastAsia="Calibri"/>
          <w:sz w:val="20"/>
          <w:szCs w:val="20"/>
          <w:lang w:val="en-US" w:eastAsia="en-US"/>
        </w:rPr>
        <w:t>n</w:t>
      </w:r>
      <w:r w:rsidRPr="00DD3886">
        <w:rPr>
          <w:rFonts w:eastAsia="Calibri"/>
          <w:sz w:val="20"/>
          <w:szCs w:val="20"/>
          <w:lang w:val="en-US" w:eastAsia="en-US"/>
        </w:rPr>
        <w:t>tonova</w:t>
      </w:r>
      <w:r w:rsidRPr="00DD3886">
        <w:rPr>
          <w:rFonts w:eastAsia="Calibri"/>
          <w:sz w:val="20"/>
          <w:szCs w:val="20"/>
          <w:vertAlign w:val="superscript"/>
          <w:lang w:val="en-US" w:eastAsia="en-US"/>
        </w:rPr>
        <w:t>1,25</w:t>
      </w:r>
      <w:r w:rsidRPr="00DD3886">
        <w:rPr>
          <w:rFonts w:eastAsia="Calibri"/>
          <w:sz w:val="20"/>
          <w:szCs w:val="20"/>
          <w:lang w:val="en-US" w:eastAsia="en-US"/>
        </w:rPr>
        <w:t>, Hiroyuki Abe</w:t>
      </w:r>
      <w:r w:rsidRPr="00DD3886">
        <w:rPr>
          <w:rFonts w:eastAsia="Calibri"/>
          <w:sz w:val="20"/>
          <w:szCs w:val="20"/>
          <w:vertAlign w:val="superscript"/>
          <w:lang w:val="en-US" w:eastAsia="en-US"/>
        </w:rPr>
        <w:t>9,10</w:t>
      </w:r>
      <w:r w:rsidRPr="00DD3886">
        <w:rPr>
          <w:rFonts w:eastAsia="Calibri"/>
          <w:sz w:val="20"/>
          <w:szCs w:val="20"/>
          <w:lang w:val="en-US" w:eastAsia="en-US"/>
        </w:rPr>
        <w:t>, Daryl Pritchard</w:t>
      </w:r>
      <w:r w:rsidRPr="00DD3886">
        <w:rPr>
          <w:rFonts w:eastAsia="Calibri"/>
          <w:sz w:val="20"/>
          <w:szCs w:val="20"/>
          <w:vertAlign w:val="superscript"/>
          <w:lang w:val="en-US" w:eastAsia="en-US"/>
        </w:rPr>
        <w:t>5</w:t>
      </w:r>
      <w:r w:rsidRPr="00DD3886">
        <w:rPr>
          <w:rFonts w:eastAsia="Calibri"/>
          <w:sz w:val="20"/>
          <w:szCs w:val="20"/>
          <w:lang w:val="en-US" w:eastAsia="en-US"/>
        </w:rPr>
        <w:t>, Alan Wu</w:t>
      </w:r>
      <w:r w:rsidRPr="00DD3886">
        <w:rPr>
          <w:rFonts w:eastAsia="Calibri"/>
          <w:sz w:val="20"/>
          <w:szCs w:val="20"/>
          <w:vertAlign w:val="superscript"/>
          <w:lang w:val="en-US" w:eastAsia="en-US"/>
        </w:rPr>
        <w:t>19,20</w:t>
      </w:r>
      <w:r w:rsidRPr="00DD3886">
        <w:rPr>
          <w:rFonts w:eastAsia="Calibri"/>
          <w:sz w:val="20"/>
          <w:szCs w:val="20"/>
          <w:lang w:val="en-US" w:eastAsia="en-US"/>
        </w:rPr>
        <w:t>, Carlos Malpica</w:t>
      </w:r>
      <w:r w:rsidRPr="00DD3886">
        <w:rPr>
          <w:rFonts w:eastAsia="Calibri"/>
          <w:sz w:val="20"/>
          <w:szCs w:val="20"/>
          <w:vertAlign w:val="superscript"/>
          <w:lang w:val="en-US" w:eastAsia="en-US"/>
        </w:rPr>
        <w:t>21,22</w:t>
      </w:r>
      <w:r w:rsidRPr="00DD3886">
        <w:rPr>
          <w:rFonts w:eastAsia="Calibri"/>
          <w:sz w:val="20"/>
          <w:szCs w:val="20"/>
          <w:lang w:val="en-US" w:eastAsia="en-US"/>
        </w:rPr>
        <w:t>, Abner Notkins</w:t>
      </w:r>
      <w:r w:rsidRPr="00DD3886">
        <w:rPr>
          <w:rFonts w:eastAsia="Calibri"/>
          <w:sz w:val="20"/>
          <w:szCs w:val="20"/>
          <w:vertAlign w:val="superscript"/>
          <w:lang w:val="en-US" w:eastAsia="en-US"/>
        </w:rPr>
        <w:t>11</w:t>
      </w:r>
      <w:r w:rsidRPr="00DD3886">
        <w:rPr>
          <w:rFonts w:eastAsia="Calibri"/>
          <w:sz w:val="20"/>
          <w:szCs w:val="20"/>
          <w:lang w:val="en-US" w:eastAsia="en-US"/>
        </w:rPr>
        <w:t>, Steven Dooley</w:t>
      </w:r>
      <w:r w:rsidRPr="00DD3886">
        <w:rPr>
          <w:rFonts w:eastAsia="Calibri"/>
          <w:sz w:val="20"/>
          <w:szCs w:val="20"/>
          <w:vertAlign w:val="superscript"/>
          <w:lang w:val="en-US" w:eastAsia="en-US"/>
        </w:rPr>
        <w:t>17,18</w:t>
      </w:r>
      <w:r w:rsidRPr="00DD3886">
        <w:rPr>
          <w:rFonts w:eastAsia="Calibri"/>
          <w:sz w:val="20"/>
          <w:szCs w:val="20"/>
          <w:lang w:val="en-US" w:eastAsia="en-US"/>
        </w:rPr>
        <w:t xml:space="preserve">, </w:t>
      </w:r>
    </w:p>
    <w:p w:rsidR="00DD3886" w:rsidRPr="00DD3886" w:rsidRDefault="00DD3886" w:rsidP="00DD3886">
      <w:pPr>
        <w:spacing w:after="60"/>
        <w:jc w:val="both"/>
        <w:rPr>
          <w:rFonts w:eastAsia="Calibri"/>
          <w:sz w:val="16"/>
          <w:szCs w:val="16"/>
          <w:lang w:val="en-US" w:eastAsia="en-US"/>
        </w:rPr>
      </w:pPr>
      <w:r w:rsidRPr="00DD3886">
        <w:rPr>
          <w:rFonts w:eastAsia="Calibri"/>
          <w:sz w:val="16"/>
          <w:szCs w:val="16"/>
          <w:vertAlign w:val="superscript"/>
          <w:lang w:val="en-US" w:eastAsia="en-US"/>
        </w:rPr>
        <w:t>1</w:t>
      </w:r>
      <w:r w:rsidRPr="00DD3886">
        <w:rPr>
          <w:rFonts w:eastAsia="Calibri"/>
          <w:sz w:val="16"/>
          <w:szCs w:val="16"/>
          <w:lang w:val="en-US" w:eastAsia="en-US"/>
        </w:rPr>
        <w:t xml:space="preserve">Institute for Global Health of MGUPP, and </w:t>
      </w:r>
      <w:r w:rsidRPr="00DD3886">
        <w:rPr>
          <w:rFonts w:eastAsia="Calibri"/>
          <w:sz w:val="16"/>
          <w:szCs w:val="16"/>
          <w:vertAlign w:val="superscript"/>
          <w:lang w:val="en-US" w:eastAsia="en-US"/>
        </w:rPr>
        <w:t>2</w:t>
      </w:r>
      <w:r w:rsidRPr="00DD3886">
        <w:rPr>
          <w:rFonts w:eastAsia="Calibri"/>
          <w:sz w:val="16"/>
          <w:szCs w:val="16"/>
          <w:lang w:val="en-US" w:eastAsia="en-US"/>
        </w:rPr>
        <w:t>A.I.Evdokimov Moscow State University of Medicine &amp; Dentistry,  Russia</w:t>
      </w:r>
    </w:p>
    <w:p w:rsidR="00DD3886" w:rsidRPr="00DD3886" w:rsidRDefault="00DD3886" w:rsidP="00DD3886">
      <w:pPr>
        <w:spacing w:after="60"/>
        <w:jc w:val="both"/>
        <w:rPr>
          <w:rFonts w:eastAsia="Calibri"/>
          <w:sz w:val="16"/>
          <w:szCs w:val="16"/>
          <w:lang w:val="en-US" w:eastAsia="en-US"/>
        </w:rPr>
      </w:pPr>
      <w:r w:rsidRPr="00DD3886">
        <w:rPr>
          <w:rFonts w:eastAsia="Calibri"/>
          <w:sz w:val="16"/>
          <w:szCs w:val="16"/>
          <w:vertAlign w:val="superscript"/>
          <w:lang w:val="en-US" w:eastAsia="en-US"/>
        </w:rPr>
        <w:t>3</w:t>
      </w:r>
      <w:r w:rsidRPr="00DD3886">
        <w:rPr>
          <w:rFonts w:eastAsia="Calibri"/>
          <w:sz w:val="16"/>
          <w:szCs w:val="16"/>
          <w:lang w:val="en-US" w:eastAsia="en-US"/>
        </w:rPr>
        <w:t xml:space="preserve">EPMA, Brussels, EU; </w:t>
      </w:r>
      <w:r w:rsidRPr="00DD3886">
        <w:rPr>
          <w:rFonts w:eastAsia="Calibri"/>
          <w:sz w:val="16"/>
          <w:szCs w:val="16"/>
          <w:vertAlign w:val="superscript"/>
          <w:lang w:val="en-US" w:eastAsia="en-US"/>
        </w:rPr>
        <w:t>4</w:t>
      </w:r>
      <w:r w:rsidRPr="00DD3886">
        <w:rPr>
          <w:rFonts w:eastAsia="Calibri"/>
          <w:sz w:val="16"/>
          <w:szCs w:val="16"/>
          <w:lang w:val="en-US" w:eastAsia="en-US"/>
        </w:rPr>
        <w:t xml:space="preserve">ISPM, Tokyo, Japan; </w:t>
      </w:r>
      <w:r w:rsidRPr="00DD3886">
        <w:rPr>
          <w:rFonts w:eastAsia="Calibri"/>
          <w:sz w:val="16"/>
          <w:szCs w:val="16"/>
          <w:vertAlign w:val="superscript"/>
          <w:lang w:val="en-US" w:eastAsia="en-US"/>
        </w:rPr>
        <w:t>5</w:t>
      </w:r>
      <w:r w:rsidRPr="00DD3886">
        <w:rPr>
          <w:rFonts w:eastAsia="Calibri"/>
          <w:sz w:val="16"/>
          <w:szCs w:val="16"/>
          <w:lang w:val="en-US" w:eastAsia="en-US"/>
        </w:rPr>
        <w:t>PMC, Washington, DC, USA</w:t>
      </w:r>
    </w:p>
    <w:p w:rsidR="00DD3886" w:rsidRPr="00DD3886" w:rsidRDefault="00DD3886" w:rsidP="00DD3886">
      <w:pPr>
        <w:spacing w:after="60"/>
        <w:jc w:val="both"/>
        <w:rPr>
          <w:rFonts w:eastAsia="Calibri"/>
          <w:sz w:val="16"/>
          <w:szCs w:val="16"/>
          <w:lang w:val="en-US" w:eastAsia="en-US"/>
        </w:rPr>
      </w:pPr>
      <w:r w:rsidRPr="00DD3886">
        <w:rPr>
          <w:rFonts w:eastAsia="Calibri"/>
          <w:sz w:val="16"/>
          <w:szCs w:val="16"/>
          <w:vertAlign w:val="superscript"/>
          <w:lang w:val="en-US" w:eastAsia="en-US"/>
        </w:rPr>
        <w:t>6</w:t>
      </w:r>
      <w:r w:rsidRPr="00DD3886">
        <w:rPr>
          <w:rFonts w:eastAsia="Calibri"/>
          <w:sz w:val="16"/>
          <w:szCs w:val="16"/>
          <w:lang w:val="en-US" w:eastAsia="en-US"/>
        </w:rPr>
        <w:t xml:space="preserve">MIT Center for Environmental Health Sciences and </w:t>
      </w:r>
      <w:r w:rsidRPr="00DD3886">
        <w:rPr>
          <w:rFonts w:eastAsia="Calibri"/>
          <w:sz w:val="16"/>
          <w:szCs w:val="16"/>
          <w:vertAlign w:val="superscript"/>
          <w:lang w:val="en-US" w:eastAsia="en-US"/>
        </w:rPr>
        <w:t>7</w:t>
      </w:r>
      <w:r w:rsidRPr="00DD3886">
        <w:rPr>
          <w:rFonts w:eastAsia="Calibri"/>
          <w:sz w:val="16"/>
          <w:szCs w:val="16"/>
          <w:lang w:val="en-US" w:eastAsia="en-US"/>
        </w:rPr>
        <w:t>Dept of Biological Engineering, MIT, Cambridge, MA, USA</w:t>
      </w:r>
    </w:p>
    <w:p w:rsidR="00DD3886" w:rsidRPr="00DD3886" w:rsidRDefault="00DD3886" w:rsidP="00DD3886">
      <w:pPr>
        <w:spacing w:after="60"/>
        <w:jc w:val="both"/>
        <w:rPr>
          <w:rFonts w:eastAsia="Calibri"/>
          <w:sz w:val="16"/>
          <w:szCs w:val="16"/>
          <w:lang w:val="en-US" w:eastAsia="en-US"/>
        </w:rPr>
      </w:pPr>
      <w:r w:rsidRPr="00DD3886">
        <w:rPr>
          <w:rFonts w:eastAsia="Calibri"/>
          <w:sz w:val="16"/>
          <w:szCs w:val="16"/>
          <w:vertAlign w:val="superscript"/>
          <w:lang w:val="en-US" w:eastAsia="en-US"/>
        </w:rPr>
        <w:t>8</w:t>
      </w:r>
      <w:r w:rsidRPr="00DD3886">
        <w:rPr>
          <w:rFonts w:eastAsia="Calibri"/>
          <w:sz w:val="16"/>
          <w:szCs w:val="16"/>
          <w:lang w:val="en-US" w:eastAsia="en-US"/>
        </w:rPr>
        <w:t>Center for Bioinformatics of the Harvard Medical School, MGH and Partners Healthcare, Boston, MA, USA</w:t>
      </w:r>
    </w:p>
    <w:p w:rsidR="00DD3886" w:rsidRPr="00DD3886" w:rsidRDefault="00DD3886" w:rsidP="00DD3886">
      <w:pPr>
        <w:spacing w:after="60"/>
        <w:jc w:val="both"/>
        <w:rPr>
          <w:rFonts w:eastAsia="Calibri"/>
          <w:sz w:val="16"/>
          <w:szCs w:val="16"/>
          <w:lang w:val="en-US" w:eastAsia="en-US"/>
        </w:rPr>
      </w:pPr>
      <w:r w:rsidRPr="00DD3886">
        <w:rPr>
          <w:rFonts w:eastAsia="Calibri"/>
          <w:sz w:val="16"/>
          <w:szCs w:val="16"/>
          <w:vertAlign w:val="superscript"/>
          <w:lang w:val="en-US" w:eastAsia="en-US"/>
        </w:rPr>
        <w:t>9</w:t>
      </w:r>
      <w:r w:rsidRPr="00DD3886">
        <w:rPr>
          <w:rFonts w:eastAsia="Calibri"/>
          <w:sz w:val="16"/>
          <w:szCs w:val="16"/>
          <w:lang w:val="en-US" w:eastAsia="en-US"/>
        </w:rPr>
        <w:t xml:space="preserve">International Society for Personalized Medicine (ISPM) and </w:t>
      </w:r>
      <w:r w:rsidRPr="00DD3886">
        <w:rPr>
          <w:rFonts w:eastAsia="Calibri"/>
          <w:sz w:val="16"/>
          <w:szCs w:val="16"/>
          <w:vertAlign w:val="superscript"/>
          <w:lang w:val="en-US" w:eastAsia="en-US"/>
        </w:rPr>
        <w:t>10</w:t>
      </w:r>
      <w:r w:rsidRPr="00DD3886">
        <w:rPr>
          <w:rFonts w:eastAsia="Calibri"/>
          <w:sz w:val="16"/>
          <w:szCs w:val="16"/>
          <w:lang w:val="en-US" w:eastAsia="en-US"/>
        </w:rPr>
        <w:t>Abe Cancer Clinic, Tokyo, Japan</w:t>
      </w:r>
    </w:p>
    <w:p w:rsidR="00DD3886" w:rsidRPr="00DD3886" w:rsidRDefault="00DD3886" w:rsidP="00DD3886">
      <w:pPr>
        <w:spacing w:after="60"/>
        <w:jc w:val="both"/>
        <w:rPr>
          <w:rFonts w:eastAsia="Calibri"/>
          <w:sz w:val="16"/>
          <w:szCs w:val="16"/>
          <w:lang w:val="en-US" w:eastAsia="en-US"/>
        </w:rPr>
      </w:pPr>
      <w:r w:rsidRPr="00DD3886">
        <w:rPr>
          <w:rFonts w:eastAsia="Calibri"/>
          <w:sz w:val="16"/>
          <w:szCs w:val="16"/>
          <w:vertAlign w:val="superscript"/>
          <w:lang w:val="en-US" w:eastAsia="en-US"/>
        </w:rPr>
        <w:t>11</w:t>
      </w:r>
      <w:r w:rsidRPr="00DD3886">
        <w:rPr>
          <w:rFonts w:eastAsia="Calibri"/>
          <w:sz w:val="16"/>
          <w:szCs w:val="16"/>
          <w:lang w:val="en-US" w:eastAsia="en-US"/>
        </w:rPr>
        <w:t>National Institutes of Health (NIH), Bethesda, MD, USA, USA</w:t>
      </w:r>
    </w:p>
    <w:p w:rsidR="00DD3886" w:rsidRPr="00DD3886" w:rsidRDefault="00DD3886" w:rsidP="00DD3886">
      <w:pPr>
        <w:spacing w:after="60"/>
        <w:jc w:val="both"/>
        <w:rPr>
          <w:rFonts w:eastAsia="Calibri"/>
          <w:sz w:val="16"/>
          <w:szCs w:val="16"/>
          <w:lang w:val="en-US" w:eastAsia="en-US"/>
        </w:rPr>
      </w:pPr>
      <w:r w:rsidRPr="00DD3886">
        <w:rPr>
          <w:rFonts w:eastAsia="Calibri"/>
          <w:sz w:val="16"/>
          <w:szCs w:val="16"/>
          <w:vertAlign w:val="superscript"/>
          <w:lang w:val="en-US" w:eastAsia="en-US"/>
        </w:rPr>
        <w:t>12</w:t>
      </w:r>
      <w:r w:rsidRPr="00DD3886">
        <w:rPr>
          <w:rFonts w:eastAsia="Calibri"/>
          <w:sz w:val="16"/>
          <w:szCs w:val="16"/>
          <w:lang w:val="en-US" w:eastAsia="en-US"/>
        </w:rPr>
        <w:t xml:space="preserve">Project FIT and </w:t>
      </w:r>
      <w:r w:rsidRPr="00DD3886">
        <w:rPr>
          <w:rFonts w:eastAsia="Calibri"/>
          <w:sz w:val="16"/>
          <w:szCs w:val="16"/>
          <w:vertAlign w:val="superscript"/>
          <w:lang w:val="en-US" w:eastAsia="en-US"/>
        </w:rPr>
        <w:t>13</w:t>
      </w:r>
      <w:r w:rsidRPr="00DD3886">
        <w:rPr>
          <w:rFonts w:eastAsia="Calibri"/>
          <w:sz w:val="16"/>
          <w:szCs w:val="16"/>
          <w:lang w:val="en-US" w:eastAsia="en-US"/>
        </w:rPr>
        <w:t>Veterinary Research Institute, Brno, Czech Republic, and</w:t>
      </w:r>
    </w:p>
    <w:p w:rsidR="00DD3886" w:rsidRPr="00DD3886" w:rsidRDefault="00DD3886" w:rsidP="00DD3886">
      <w:pPr>
        <w:spacing w:after="60"/>
        <w:jc w:val="both"/>
        <w:rPr>
          <w:rFonts w:eastAsia="Calibri"/>
          <w:sz w:val="16"/>
          <w:szCs w:val="16"/>
          <w:lang w:val="en-US" w:eastAsia="en-US"/>
        </w:rPr>
      </w:pPr>
      <w:r w:rsidRPr="00DD3886">
        <w:rPr>
          <w:rFonts w:eastAsia="Calibri"/>
          <w:sz w:val="16"/>
          <w:szCs w:val="16"/>
          <w:vertAlign w:val="superscript"/>
          <w:lang w:val="en-US" w:eastAsia="en-US"/>
        </w:rPr>
        <w:t>14</w:t>
      </w:r>
      <w:r w:rsidRPr="00DD3886">
        <w:rPr>
          <w:rFonts w:eastAsia="Calibri"/>
          <w:sz w:val="16"/>
          <w:szCs w:val="16"/>
          <w:lang w:val="en-US" w:eastAsia="en-US"/>
        </w:rPr>
        <w:t>Department of Chemistry and Biochemistry, Mendel University, Brno, Czech Republic, and</w:t>
      </w:r>
    </w:p>
    <w:p w:rsidR="00DD3886" w:rsidRPr="00DD3886" w:rsidRDefault="00DD3886" w:rsidP="00DD3886">
      <w:pPr>
        <w:spacing w:after="60"/>
        <w:jc w:val="both"/>
        <w:rPr>
          <w:rFonts w:eastAsia="Calibri"/>
          <w:sz w:val="16"/>
          <w:szCs w:val="16"/>
          <w:lang w:val="en-US" w:eastAsia="en-US"/>
        </w:rPr>
      </w:pPr>
      <w:r w:rsidRPr="00DD3886">
        <w:rPr>
          <w:rFonts w:eastAsia="Calibri"/>
          <w:sz w:val="16"/>
          <w:szCs w:val="16"/>
          <w:vertAlign w:val="superscript"/>
          <w:lang w:val="en-US" w:eastAsia="en-US"/>
        </w:rPr>
        <w:t>15</w:t>
      </w:r>
      <w:r w:rsidRPr="00DD3886">
        <w:rPr>
          <w:rFonts w:eastAsia="Calibri"/>
          <w:sz w:val="16"/>
          <w:szCs w:val="16"/>
          <w:lang w:val="en-US" w:eastAsia="en-US"/>
        </w:rPr>
        <w:t>School of Pharmacy, Shanghai Jiao Tong University, Shanghai, PRC</w:t>
      </w:r>
    </w:p>
    <w:p w:rsidR="00DD3886" w:rsidRPr="00DD3886" w:rsidRDefault="00DD3886" w:rsidP="00DD3886">
      <w:pPr>
        <w:spacing w:after="60"/>
        <w:jc w:val="both"/>
        <w:rPr>
          <w:rFonts w:eastAsia="Calibri"/>
          <w:sz w:val="16"/>
          <w:szCs w:val="16"/>
          <w:lang w:val="en-US" w:eastAsia="en-US"/>
        </w:rPr>
      </w:pPr>
      <w:r w:rsidRPr="00DD3886">
        <w:rPr>
          <w:rFonts w:eastAsia="Calibri"/>
          <w:sz w:val="16"/>
          <w:szCs w:val="16"/>
          <w:vertAlign w:val="superscript"/>
          <w:lang w:val="en-US" w:eastAsia="en-US"/>
        </w:rPr>
        <w:t>16</w:t>
      </w:r>
      <w:r w:rsidRPr="00DD3886">
        <w:rPr>
          <w:rFonts w:eastAsia="Calibri"/>
          <w:sz w:val="16"/>
          <w:szCs w:val="16"/>
          <w:lang w:val="en-US" w:eastAsia="en-US"/>
        </w:rPr>
        <w:t xml:space="preserve">Centre National de la Recherche Scientifique (CNRS) &amp; </w:t>
      </w:r>
      <w:r w:rsidRPr="00DD3886">
        <w:rPr>
          <w:rFonts w:eastAsia="Calibri"/>
          <w:sz w:val="16"/>
          <w:szCs w:val="16"/>
          <w:vertAlign w:val="superscript"/>
          <w:lang w:val="en-US" w:eastAsia="en-US"/>
        </w:rPr>
        <w:t>17</w:t>
      </w:r>
      <w:r w:rsidRPr="00DD3886">
        <w:rPr>
          <w:rFonts w:eastAsia="Calibri"/>
          <w:sz w:val="16"/>
          <w:szCs w:val="16"/>
          <w:lang w:val="en-US" w:eastAsia="en-US"/>
        </w:rPr>
        <w:t>National Scientific Research Center, Paris, France</w:t>
      </w:r>
    </w:p>
    <w:p w:rsidR="00DD3886" w:rsidRPr="00DD3886" w:rsidRDefault="00DD3886" w:rsidP="00DD3886">
      <w:pPr>
        <w:spacing w:after="60"/>
        <w:jc w:val="both"/>
        <w:rPr>
          <w:rFonts w:eastAsia="Calibri"/>
          <w:sz w:val="16"/>
          <w:szCs w:val="16"/>
          <w:lang w:val="en-US" w:eastAsia="en-US"/>
        </w:rPr>
      </w:pPr>
      <w:r w:rsidRPr="00DD3886">
        <w:rPr>
          <w:rFonts w:eastAsia="Calibri"/>
          <w:sz w:val="16"/>
          <w:szCs w:val="16"/>
          <w:vertAlign w:val="superscript"/>
          <w:lang w:val="en-US" w:eastAsia="en-US"/>
        </w:rPr>
        <w:t>17</w:t>
      </w:r>
      <w:r w:rsidRPr="00DD3886">
        <w:rPr>
          <w:rFonts w:eastAsia="Calibri"/>
          <w:sz w:val="16"/>
          <w:szCs w:val="16"/>
          <w:lang w:val="en-US" w:eastAsia="en-US"/>
        </w:rPr>
        <w:t xml:space="preserve">Medical Faculty Mannheim of the University of Heidelberg and </w:t>
      </w:r>
      <w:r w:rsidRPr="00DD3886">
        <w:rPr>
          <w:rFonts w:eastAsia="Calibri"/>
          <w:sz w:val="16"/>
          <w:szCs w:val="16"/>
          <w:vertAlign w:val="superscript"/>
          <w:lang w:val="en-US" w:eastAsia="en-US"/>
        </w:rPr>
        <w:t>18</w:t>
      </w:r>
      <w:r w:rsidRPr="00DD3886">
        <w:rPr>
          <w:rFonts w:eastAsia="Calibri"/>
          <w:sz w:val="16"/>
          <w:szCs w:val="16"/>
          <w:lang w:val="en-US" w:eastAsia="en-US"/>
        </w:rPr>
        <w:t>University Hospital Mannheim II, Germany</w:t>
      </w:r>
    </w:p>
    <w:p w:rsidR="00DD3886" w:rsidRPr="00DD3886" w:rsidRDefault="00DD3886" w:rsidP="00DD3886">
      <w:pPr>
        <w:spacing w:after="60"/>
        <w:jc w:val="both"/>
        <w:rPr>
          <w:rFonts w:eastAsia="Calibri"/>
          <w:sz w:val="16"/>
          <w:szCs w:val="16"/>
          <w:lang w:val="en-US" w:eastAsia="en-US"/>
        </w:rPr>
      </w:pPr>
      <w:r w:rsidRPr="00DD3886">
        <w:rPr>
          <w:rFonts w:eastAsia="Calibri"/>
          <w:sz w:val="16"/>
          <w:szCs w:val="16"/>
          <w:vertAlign w:val="superscript"/>
          <w:lang w:val="en-US" w:eastAsia="en-US"/>
        </w:rPr>
        <w:t>19</w:t>
      </w:r>
      <w:r w:rsidRPr="00DD3886">
        <w:rPr>
          <w:rFonts w:eastAsia="Calibri"/>
          <w:sz w:val="16"/>
          <w:szCs w:val="16"/>
          <w:lang w:val="en-US" w:eastAsia="en-US"/>
        </w:rPr>
        <w:t xml:space="preserve">Clinical Chemistry Lab, SFGH and </w:t>
      </w:r>
      <w:r w:rsidRPr="00DD3886">
        <w:rPr>
          <w:rFonts w:eastAsia="Calibri"/>
          <w:sz w:val="16"/>
          <w:szCs w:val="16"/>
          <w:vertAlign w:val="superscript"/>
          <w:lang w:val="en-US" w:eastAsia="en-US"/>
        </w:rPr>
        <w:t>20</w:t>
      </w:r>
      <w:r w:rsidRPr="00DD3886">
        <w:rPr>
          <w:rFonts w:eastAsia="Calibri"/>
          <w:sz w:val="16"/>
          <w:szCs w:val="16"/>
          <w:lang w:val="en-US" w:eastAsia="en-US"/>
        </w:rPr>
        <w:t>Clinical Pharmacogenomics Lab, UCSF, San Francisco, CA, USA</w:t>
      </w:r>
    </w:p>
    <w:p w:rsidR="00DD3886" w:rsidRPr="00DD3886" w:rsidRDefault="00DD3886" w:rsidP="00DD3886">
      <w:pPr>
        <w:spacing w:after="60"/>
        <w:jc w:val="both"/>
        <w:rPr>
          <w:rFonts w:eastAsia="Calibri"/>
          <w:sz w:val="16"/>
          <w:szCs w:val="16"/>
          <w:lang w:val="en-US" w:eastAsia="en-US"/>
        </w:rPr>
      </w:pPr>
      <w:r w:rsidRPr="00DD3886">
        <w:rPr>
          <w:rFonts w:eastAsia="Calibri"/>
          <w:sz w:val="16"/>
          <w:szCs w:val="16"/>
          <w:vertAlign w:val="superscript"/>
          <w:lang w:val="en-US" w:eastAsia="en-US"/>
        </w:rPr>
        <w:t>21</w:t>
      </w:r>
      <w:r w:rsidRPr="00DD3886">
        <w:rPr>
          <w:rFonts w:eastAsia="Calibri"/>
          <w:sz w:val="16"/>
          <w:szCs w:val="16"/>
          <w:lang w:val="en-US" w:eastAsia="en-US"/>
        </w:rPr>
        <w:t xml:space="preserve">MLP Vision Biotech S.L. and </w:t>
      </w:r>
      <w:r w:rsidRPr="00DD3886">
        <w:rPr>
          <w:rFonts w:eastAsia="Calibri"/>
          <w:sz w:val="16"/>
          <w:szCs w:val="16"/>
          <w:vertAlign w:val="superscript"/>
          <w:lang w:val="en-US" w:eastAsia="en-US"/>
        </w:rPr>
        <w:t>22</w:t>
      </w:r>
      <w:r w:rsidRPr="00DD3886">
        <w:rPr>
          <w:rFonts w:eastAsia="Calibri"/>
          <w:sz w:val="16"/>
          <w:szCs w:val="16"/>
          <w:lang w:val="en-US" w:eastAsia="en-US"/>
        </w:rPr>
        <w:t>Valdia Health, Madrid-Spain and Doha-Qatar</w:t>
      </w:r>
    </w:p>
    <w:p w:rsidR="00DD3886" w:rsidRPr="00DD3886" w:rsidRDefault="00DD3886" w:rsidP="00DD3886">
      <w:pPr>
        <w:spacing w:after="60"/>
        <w:jc w:val="both"/>
        <w:rPr>
          <w:rFonts w:eastAsia="Calibri"/>
          <w:sz w:val="16"/>
          <w:szCs w:val="16"/>
          <w:lang w:val="en-US" w:eastAsia="en-US"/>
        </w:rPr>
      </w:pPr>
      <w:r w:rsidRPr="00DD3886">
        <w:rPr>
          <w:rFonts w:eastAsia="Calibri"/>
          <w:sz w:val="16"/>
          <w:szCs w:val="16"/>
          <w:vertAlign w:val="superscript"/>
          <w:lang w:val="en-US" w:eastAsia="en-US"/>
        </w:rPr>
        <w:t>25</w:t>
      </w:r>
      <w:r w:rsidRPr="00DD3886">
        <w:rPr>
          <w:rFonts w:eastAsia="Calibri"/>
          <w:sz w:val="16"/>
          <w:szCs w:val="16"/>
          <w:lang w:val="en-US" w:eastAsia="en-US"/>
        </w:rPr>
        <w:t>N.F. Filatov Moscow Municipal Clinical Pediatric Hospital, Moscow, Russia</w:t>
      </w:r>
    </w:p>
    <w:p w:rsidR="00AC3BCD" w:rsidRPr="00DD3886" w:rsidRDefault="00AC3BCD" w:rsidP="00AC3BCD">
      <w:pPr>
        <w:jc w:val="center"/>
        <w:rPr>
          <w:rFonts w:eastAsia="Batang"/>
          <w:color w:val="0000FF"/>
          <w:sz w:val="8"/>
          <w:szCs w:val="8"/>
          <w:lang w:val="en-US"/>
        </w:rPr>
      </w:pPr>
    </w:p>
    <w:p w:rsidR="00DD3886" w:rsidRPr="00DD3886" w:rsidRDefault="00DD3886" w:rsidP="00DD3886">
      <w:pPr>
        <w:spacing w:after="60"/>
        <w:jc w:val="both"/>
        <w:rPr>
          <w:rFonts w:eastAsia="Calibri"/>
          <w:color w:val="000000"/>
          <w:sz w:val="20"/>
          <w:szCs w:val="20"/>
          <w:lang w:val="en-US" w:eastAsia="en-US"/>
        </w:rPr>
      </w:pPr>
      <w:r w:rsidRPr="00DD3886">
        <w:rPr>
          <w:rFonts w:eastAsia="Calibri"/>
          <w:color w:val="000000"/>
          <w:sz w:val="20"/>
          <w:szCs w:val="20"/>
          <w:lang w:val="en-US" w:eastAsia="en-US"/>
        </w:rPr>
        <w:t xml:space="preserve">Policy formation in the field of individual health promotion and protection is one of the priority tasks of national healthcare systems. </w:t>
      </w:r>
      <w:r w:rsidRPr="00DD3886">
        <w:rPr>
          <w:rFonts w:eastAsia="Calibri"/>
          <w:sz w:val="20"/>
          <w:szCs w:val="20"/>
          <w:lang w:val="en-US" w:eastAsia="en-US"/>
        </w:rPr>
        <w:t xml:space="preserve">Canonical health care is becoming increasingly unaffordable in most of the countries, yet it remains ineffective in preventing or effectively treating chronic diseases. </w:t>
      </w:r>
      <w:r w:rsidRPr="00DD3886">
        <w:rPr>
          <w:rFonts w:eastAsia="Calibri"/>
          <w:color w:val="000000"/>
          <w:sz w:val="20"/>
          <w:szCs w:val="20"/>
          <w:lang w:val="en-US" w:eastAsia="en-US"/>
        </w:rPr>
        <w:t xml:space="preserve">The medicine of the XXI century is </w:t>
      </w:r>
      <w:r w:rsidRPr="00DD3886">
        <w:rPr>
          <w:rFonts w:eastAsia="Calibri"/>
          <w:b/>
          <w:i/>
          <w:sz w:val="20"/>
          <w:szCs w:val="20"/>
          <w:lang w:val="en-US" w:eastAsia="en-US"/>
        </w:rPr>
        <w:t>Personalized &amp; Precision Medicine (PPM)</w:t>
      </w:r>
      <w:r w:rsidRPr="00DD3886">
        <w:rPr>
          <w:rFonts w:eastAsia="Calibri"/>
          <w:color w:val="000000"/>
          <w:sz w:val="20"/>
          <w:szCs w:val="20"/>
          <w:lang w:val="en-US" w:eastAsia="en-US"/>
        </w:rPr>
        <w:t>, by protecting and preserving human health throughout the life. In this regard, an upgraded model of healthcare service, which includes the philosophy, principles and armamentarium of PPM and aimed at ident</w:t>
      </w:r>
      <w:r w:rsidRPr="00DD3886">
        <w:rPr>
          <w:rFonts w:eastAsia="Calibri"/>
          <w:color w:val="000000"/>
          <w:sz w:val="20"/>
          <w:szCs w:val="20"/>
          <w:lang w:val="en-US" w:eastAsia="en-US"/>
        </w:rPr>
        <w:t>i</w:t>
      </w:r>
      <w:r w:rsidRPr="00DD3886">
        <w:rPr>
          <w:rFonts w:eastAsia="Calibri"/>
          <w:color w:val="000000"/>
          <w:sz w:val="20"/>
          <w:szCs w:val="20"/>
          <w:lang w:val="en-US" w:eastAsia="en-US"/>
        </w:rPr>
        <w:t>fying the disorder at its early (subclinical) stage, is being created and set up. PPM focuses on predictive and preventive measures that contribute to the development of individualized strategies for managing a healthy lifestyle that stabilize morbidity rates and can help to improve the working capacity of the population. To achieve the goals of value-based healthcare and the implementation of the PPM concept, it is necessary to combine the assets of the newest advances in basic science with clinical medicine, followed by the introduction and promotion of new generation’s translational a</w:t>
      </w:r>
      <w:r w:rsidRPr="00DD3886">
        <w:rPr>
          <w:rFonts w:eastAsia="Calibri"/>
          <w:color w:val="000000"/>
          <w:sz w:val="20"/>
          <w:szCs w:val="20"/>
          <w:lang w:val="en-US" w:eastAsia="en-US"/>
        </w:rPr>
        <w:t>p</w:t>
      </w:r>
      <w:r w:rsidRPr="00DD3886">
        <w:rPr>
          <w:rFonts w:eastAsia="Calibri"/>
          <w:color w:val="000000"/>
          <w:sz w:val="20"/>
          <w:szCs w:val="20"/>
          <w:lang w:val="en-US" w:eastAsia="en-US"/>
        </w:rPr>
        <w:t>plications.</w:t>
      </w:r>
    </w:p>
    <w:p w:rsidR="00DD3886" w:rsidRPr="00DD3886" w:rsidRDefault="00DD3886" w:rsidP="00DD3886">
      <w:pPr>
        <w:spacing w:after="60" w:line="256" w:lineRule="auto"/>
        <w:jc w:val="both"/>
        <w:rPr>
          <w:rFonts w:eastAsia="Calibri"/>
          <w:sz w:val="20"/>
          <w:szCs w:val="20"/>
          <w:lang w:val="en-US" w:eastAsia="en-US"/>
        </w:rPr>
      </w:pPr>
      <w:r w:rsidRPr="00DD3886">
        <w:rPr>
          <w:rFonts w:eastAsia="Calibri"/>
          <w:sz w:val="20"/>
          <w:szCs w:val="20"/>
          <w:lang w:val="en-US" w:eastAsia="en-US"/>
        </w:rPr>
        <w:t xml:space="preserve">Opportunities exist at every stage of disease initiation and progression to develop a </w:t>
      </w:r>
      <w:r w:rsidRPr="00DD3886">
        <w:rPr>
          <w:rFonts w:eastAsia="Calibri"/>
          <w:b/>
          <w:i/>
          <w:sz w:val="20"/>
          <w:szCs w:val="20"/>
          <w:lang w:val="en-US" w:eastAsia="en-US"/>
        </w:rPr>
        <w:t>Personalized Health Plan</w:t>
      </w:r>
      <w:r w:rsidRPr="00DD3886">
        <w:rPr>
          <w:rFonts w:eastAsia="Calibri"/>
          <w:sz w:val="20"/>
          <w:szCs w:val="20"/>
          <w:lang w:val="en-US" w:eastAsia="en-US"/>
        </w:rPr>
        <w:t xml:space="preserve"> </w:t>
      </w:r>
      <w:r w:rsidRPr="00DD3886">
        <w:rPr>
          <w:rFonts w:eastAsia="Calibri"/>
          <w:b/>
          <w:i/>
          <w:sz w:val="20"/>
          <w:szCs w:val="20"/>
          <w:lang w:val="en-US" w:eastAsia="en-US"/>
        </w:rPr>
        <w:t>(PHP)</w:t>
      </w:r>
      <w:r w:rsidRPr="00DD3886">
        <w:rPr>
          <w:rFonts w:eastAsia="Calibri"/>
          <w:sz w:val="20"/>
          <w:szCs w:val="20"/>
          <w:lang w:val="en-US" w:eastAsia="en-US"/>
        </w:rPr>
        <w:t xml:space="preserve"> addressing lifestyle, risk modification and disease management, and later, </w:t>
      </w:r>
      <w:r w:rsidRPr="00DD3886">
        <w:rPr>
          <w:rFonts w:eastAsia="Calibri"/>
          <w:b/>
          <w:i/>
          <w:sz w:val="20"/>
          <w:szCs w:val="20"/>
          <w:lang w:val="en-US" w:eastAsia="en-US"/>
        </w:rPr>
        <w:t>Personalized Health Management &amp; Wel</w:t>
      </w:r>
      <w:r w:rsidRPr="00DD3886">
        <w:rPr>
          <w:rFonts w:eastAsia="Calibri"/>
          <w:b/>
          <w:i/>
          <w:sz w:val="20"/>
          <w:szCs w:val="20"/>
          <w:lang w:val="en-US" w:eastAsia="en-US"/>
        </w:rPr>
        <w:t>l</w:t>
      </w:r>
      <w:r w:rsidRPr="00DD3886">
        <w:rPr>
          <w:rFonts w:eastAsia="Calibri"/>
          <w:b/>
          <w:i/>
          <w:sz w:val="20"/>
          <w:szCs w:val="20"/>
          <w:lang w:val="en-US" w:eastAsia="en-US"/>
        </w:rPr>
        <w:t xml:space="preserve">ness Program (PHM&amp;WP). </w:t>
      </w:r>
      <w:r w:rsidRPr="00DD3886">
        <w:rPr>
          <w:rFonts w:eastAsia="Calibri"/>
          <w:sz w:val="20"/>
          <w:szCs w:val="20"/>
          <w:lang w:val="en-US" w:eastAsia="en-US"/>
        </w:rPr>
        <w:t>So, a combination of genomic and phenome-related biomarkers is becoming of great si</w:t>
      </w:r>
      <w:r w:rsidRPr="00DD3886">
        <w:rPr>
          <w:rFonts w:eastAsia="Calibri"/>
          <w:sz w:val="20"/>
          <w:szCs w:val="20"/>
          <w:lang w:val="en-US" w:eastAsia="en-US"/>
        </w:rPr>
        <w:t>g</w:t>
      </w:r>
      <w:r w:rsidRPr="00DD3886">
        <w:rPr>
          <w:rFonts w:eastAsia="Calibri"/>
          <w:sz w:val="20"/>
          <w:szCs w:val="20"/>
          <w:lang w:val="en-US" w:eastAsia="en-US"/>
        </w:rPr>
        <w:t>nificance to be applied in PPM and need to be translated into the daily practice to predict risks of the disease chronific</w:t>
      </w:r>
      <w:r w:rsidRPr="00DD3886">
        <w:rPr>
          <w:rFonts w:eastAsia="Calibri"/>
          <w:sz w:val="20"/>
          <w:szCs w:val="20"/>
          <w:lang w:val="en-US" w:eastAsia="en-US"/>
        </w:rPr>
        <w:t>a</w:t>
      </w:r>
      <w:r w:rsidRPr="00DD3886">
        <w:rPr>
          <w:rFonts w:eastAsia="Calibri"/>
          <w:sz w:val="20"/>
          <w:szCs w:val="20"/>
          <w:lang w:val="en-US" w:eastAsia="en-US"/>
        </w:rPr>
        <w:t>tion and thus of disabling.</w:t>
      </w:r>
    </w:p>
    <w:p w:rsidR="00DD3886" w:rsidRPr="00DD3886" w:rsidRDefault="00DD3886" w:rsidP="00DD3886">
      <w:pPr>
        <w:spacing w:after="60" w:line="256" w:lineRule="auto"/>
        <w:jc w:val="both"/>
        <w:rPr>
          <w:rFonts w:eastAsia="Calibri"/>
          <w:sz w:val="20"/>
          <w:szCs w:val="20"/>
          <w:lang w:val="en-US" w:eastAsia="en-US"/>
        </w:rPr>
      </w:pPr>
      <w:r w:rsidRPr="00DD3886">
        <w:rPr>
          <w:rFonts w:eastAsia="Calibri"/>
          <w:sz w:val="20"/>
          <w:szCs w:val="20"/>
          <w:lang w:val="en-US" w:eastAsia="en-US"/>
        </w:rPr>
        <w:t>PPM has drastically changed and is keeping on changing the landscape of healthcare. In reality, PPM is the new revol</w:t>
      </w:r>
      <w:r w:rsidRPr="00DD3886">
        <w:rPr>
          <w:rFonts w:eastAsia="Calibri"/>
          <w:sz w:val="20"/>
          <w:szCs w:val="20"/>
          <w:lang w:val="en-US" w:eastAsia="en-US"/>
        </w:rPr>
        <w:t>u</w:t>
      </w:r>
      <w:r w:rsidRPr="00DD3886">
        <w:rPr>
          <w:rFonts w:eastAsia="Calibri"/>
          <w:sz w:val="20"/>
          <w:szCs w:val="20"/>
          <w:lang w:val="en-US" w:eastAsia="en-US"/>
        </w:rPr>
        <w:t>tion in medicine which is dramatically modifying the traditional paradigm in medicine with huge consequences for health care systems. And putting PPM-tools in a public health perspective requires an apprehension of the current and future public health challenges.</w:t>
      </w:r>
    </w:p>
    <w:p w:rsidR="00DD3886" w:rsidRPr="00DD3886" w:rsidRDefault="00DD3886" w:rsidP="00DD3886">
      <w:pPr>
        <w:spacing w:after="60" w:line="256" w:lineRule="auto"/>
        <w:jc w:val="both"/>
        <w:rPr>
          <w:rFonts w:eastAsia="Calibri"/>
          <w:sz w:val="20"/>
          <w:szCs w:val="20"/>
          <w:lang w:val="en-US" w:eastAsia="en-US"/>
        </w:rPr>
      </w:pPr>
      <w:r w:rsidRPr="00DD3886">
        <w:rPr>
          <w:rFonts w:eastAsia="Calibri"/>
          <w:sz w:val="20"/>
          <w:szCs w:val="20"/>
          <w:lang w:val="en-US" w:eastAsia="en-US"/>
        </w:rPr>
        <w:t>Due to our experience, a symbiotic relationship between public health and PPM may exist. And this approach will be possible only with the integration of data across levels of influence and analytic wisdom in using those data toward be</w:t>
      </w:r>
      <w:r w:rsidRPr="00DD3886">
        <w:rPr>
          <w:rFonts w:eastAsia="Calibri"/>
          <w:sz w:val="20"/>
          <w:szCs w:val="20"/>
          <w:lang w:val="en-US" w:eastAsia="en-US"/>
        </w:rPr>
        <w:t>t</w:t>
      </w:r>
      <w:r w:rsidRPr="00DD3886">
        <w:rPr>
          <w:rFonts w:eastAsia="Calibri"/>
          <w:sz w:val="20"/>
          <w:szCs w:val="20"/>
          <w:lang w:val="en-US" w:eastAsia="en-US"/>
        </w:rPr>
        <w:t>ter identification of disease and lifestyle risks.</w:t>
      </w:r>
    </w:p>
    <w:p w:rsidR="00DD3886" w:rsidRPr="00DD3886" w:rsidRDefault="00DD3886" w:rsidP="00DD3886">
      <w:pPr>
        <w:spacing w:after="60" w:line="256" w:lineRule="auto"/>
        <w:jc w:val="both"/>
        <w:rPr>
          <w:rFonts w:eastAsia="Calibri"/>
          <w:sz w:val="20"/>
          <w:szCs w:val="20"/>
          <w:lang w:val="en-US" w:eastAsia="en-US"/>
        </w:rPr>
      </w:pPr>
      <w:r w:rsidRPr="00DD3886">
        <w:rPr>
          <w:rFonts w:eastAsia="Calibri"/>
          <w:sz w:val="20"/>
          <w:szCs w:val="20"/>
          <w:lang w:val="en-US" w:eastAsia="en-US"/>
        </w:rPr>
        <w:t xml:space="preserve">In this sense, all healthcare professionals of the future should be educated to deliver </w:t>
      </w:r>
      <w:r w:rsidRPr="00DD3886">
        <w:rPr>
          <w:rFonts w:eastAsia="Calibri"/>
          <w:b/>
          <w:i/>
          <w:sz w:val="20"/>
          <w:szCs w:val="20"/>
          <w:lang w:val="en-US" w:eastAsia="en-US"/>
        </w:rPr>
        <w:t>patient-centric care</w:t>
      </w:r>
      <w:r w:rsidRPr="00DD3886">
        <w:rPr>
          <w:rFonts w:eastAsia="Calibri"/>
          <w:sz w:val="20"/>
          <w:szCs w:val="20"/>
          <w:lang w:val="en-US" w:eastAsia="en-US"/>
        </w:rPr>
        <w:t xml:space="preserve"> as members of interdisciplinary teams, emphasizing evidence-based practice, quality improvement approaches and bioinformatics.</w:t>
      </w:r>
    </w:p>
    <w:p w:rsidR="00DD3886" w:rsidRPr="00DD3886" w:rsidRDefault="00DD3886" w:rsidP="00DD3886">
      <w:pPr>
        <w:spacing w:after="60" w:line="256" w:lineRule="auto"/>
        <w:jc w:val="both"/>
        <w:rPr>
          <w:rFonts w:eastAsia="Calibri"/>
          <w:sz w:val="20"/>
          <w:szCs w:val="20"/>
          <w:lang w:val="en-US" w:eastAsia="en-US"/>
        </w:rPr>
      </w:pPr>
      <w:r w:rsidRPr="00DD3886">
        <w:rPr>
          <w:rFonts w:eastAsia="Calibri"/>
          <w:sz w:val="20"/>
          <w:szCs w:val="20"/>
          <w:lang w:val="en-US" w:eastAsia="en-US"/>
        </w:rPr>
        <w:t>And thus greater collaboration between clinician and patient (or person-at-risk) would replace the traditional clinician-dominated dialogue with more effective patient-clinician partnerships. So, the current model “physician-patient” would have to be gradually displaced by a “medical advisor-healthy persons-at-risk” model. And biological and medical data from individuals can be analyzed with environmental data to determine the drivers of health and well-being. This a</w:t>
      </w:r>
      <w:r w:rsidRPr="00DD3886">
        <w:rPr>
          <w:rFonts w:eastAsia="Calibri"/>
          <w:sz w:val="20"/>
          <w:szCs w:val="20"/>
          <w:lang w:val="en-US" w:eastAsia="en-US"/>
        </w:rPr>
        <w:t>p</w:t>
      </w:r>
      <w:r w:rsidRPr="00DD3886">
        <w:rPr>
          <w:rFonts w:eastAsia="Calibri"/>
          <w:sz w:val="20"/>
          <w:szCs w:val="20"/>
          <w:lang w:val="en-US" w:eastAsia="en-US"/>
        </w:rPr>
        <w:t>proach mentioned should be based on postulates which will change the incarnate culture and social mentality!</w:t>
      </w:r>
    </w:p>
    <w:p w:rsidR="00DD3886" w:rsidRPr="00DD3886" w:rsidRDefault="00DD3886" w:rsidP="00DD3886">
      <w:pPr>
        <w:spacing w:after="60"/>
        <w:jc w:val="both"/>
        <w:rPr>
          <w:rFonts w:eastAsia="Calibri"/>
          <w:sz w:val="20"/>
          <w:szCs w:val="20"/>
          <w:lang w:val="en-US" w:eastAsia="en-US"/>
        </w:rPr>
      </w:pPr>
      <w:r w:rsidRPr="00DD3886">
        <w:rPr>
          <w:rFonts w:eastAsia="Calibri"/>
          <w:sz w:val="20"/>
          <w:szCs w:val="20"/>
          <w:lang w:val="en-US" w:eastAsia="en-US"/>
        </w:rPr>
        <w:t>The core functions of national and local government need to be strengthened, especially in relation to comprehensive understanding of the causes of the causes of inequities in health, participatory governance that engages and empowers individuals and communities and that adopt new roles in creating the conditions in which power is shared and health and well-being are co-produced with citizens and communities. It means concerted action by the range of individuals, agencies and all levels of government that can affect the social determinants of health, fostering whole-system a</w:t>
      </w:r>
      <w:r w:rsidRPr="00DD3886">
        <w:rPr>
          <w:rFonts w:eastAsia="Calibri"/>
          <w:sz w:val="20"/>
          <w:szCs w:val="20"/>
          <w:lang w:val="en-US" w:eastAsia="en-US"/>
        </w:rPr>
        <w:t>p</w:t>
      </w:r>
      <w:r w:rsidRPr="00DD3886">
        <w:rPr>
          <w:rFonts w:eastAsia="Calibri"/>
          <w:sz w:val="20"/>
          <w:szCs w:val="20"/>
          <w:lang w:val="en-US" w:eastAsia="en-US"/>
        </w:rPr>
        <w:t>proaches to addressing inequities in health.</w:t>
      </w:r>
    </w:p>
    <w:p w:rsidR="00DD3886" w:rsidRPr="00DD3886" w:rsidRDefault="00DD3886" w:rsidP="00DD3886">
      <w:pPr>
        <w:spacing w:after="60"/>
        <w:jc w:val="both"/>
        <w:rPr>
          <w:rFonts w:eastAsia="Calibri"/>
          <w:sz w:val="20"/>
          <w:szCs w:val="20"/>
          <w:lang w:val="en-US" w:eastAsia="en-US"/>
        </w:rPr>
      </w:pPr>
      <w:r w:rsidRPr="00DD3886">
        <w:rPr>
          <w:rFonts w:eastAsia="Calibri"/>
          <w:sz w:val="20"/>
          <w:szCs w:val="20"/>
          <w:lang w:val="en-US" w:eastAsia="en-US"/>
        </w:rPr>
        <w:lastRenderedPageBreak/>
        <w:t xml:space="preserve">Thus, the main task of PPM is to extend healthy life and increase the size of working-age population, with simultaneous and timely detection of pathological changes in the body, and targeted measures aimed at preventing diseases. </w:t>
      </w:r>
      <w:r w:rsidRPr="00DD3886">
        <w:rPr>
          <w:rFonts w:eastAsia="Calibri"/>
          <w:color w:val="000000"/>
          <w:sz w:val="20"/>
          <w:szCs w:val="20"/>
          <w:lang w:val="en-US" w:eastAsia="en-US"/>
        </w:rPr>
        <w:t>Impl</w:t>
      </w:r>
      <w:r w:rsidRPr="00DD3886">
        <w:rPr>
          <w:rFonts w:eastAsia="Calibri"/>
          <w:color w:val="000000"/>
          <w:sz w:val="20"/>
          <w:szCs w:val="20"/>
          <w:lang w:val="en-US" w:eastAsia="en-US"/>
        </w:rPr>
        <w:t>e</w:t>
      </w:r>
      <w:r w:rsidRPr="00DD3886">
        <w:rPr>
          <w:rFonts w:eastAsia="Calibri"/>
          <w:color w:val="000000"/>
          <w:sz w:val="20"/>
          <w:szCs w:val="20"/>
          <w:lang w:val="en-US" w:eastAsia="en-US"/>
        </w:rPr>
        <w:t xml:space="preserve">mentation of PPM requires a lot before the current model “physician-patient” could be gradually displaced by a new model “medical advisor-healthy person-at-risk”. This is the reason for developing global scientific, clinical, social, and educational projects in the area of PPM to elicit the content of the new branch. </w:t>
      </w:r>
      <w:r w:rsidRPr="00DD3886">
        <w:rPr>
          <w:rFonts w:eastAsia="Calibri"/>
          <w:sz w:val="20"/>
          <w:szCs w:val="20"/>
          <w:lang w:val="en-US" w:eastAsia="en-US"/>
        </w:rPr>
        <w:t>So, to fully harvest the unique potential of PPM and PPM-based Public Health, new generations of new precision diagnostic, predictive, prognostic, preventive, prophylactic, therapeutic, rehabilitative and digital products will need to be matched with new thinking and new pra</w:t>
      </w:r>
      <w:r w:rsidRPr="00DD3886">
        <w:rPr>
          <w:rFonts w:eastAsia="Calibri"/>
          <w:sz w:val="20"/>
          <w:szCs w:val="20"/>
          <w:lang w:val="en-US" w:eastAsia="en-US"/>
        </w:rPr>
        <w:t>c</w:t>
      </w:r>
      <w:r w:rsidRPr="00DD3886">
        <w:rPr>
          <w:rFonts w:eastAsia="Calibri"/>
          <w:sz w:val="20"/>
          <w:szCs w:val="20"/>
          <w:lang w:val="en-US" w:eastAsia="en-US"/>
        </w:rPr>
        <w:t>tice on the part of all the participants in the healthcare system. In this connection, the healthcare providers, public policy sector, and consumer industries will be required to develop new and creative models and products. And, no doubt, next generations will speak about the XXI century as a time, when medicine became preventive and personalized, and its outcomes – predictive and guarantied.</w:t>
      </w:r>
    </w:p>
    <w:p w:rsidR="00AC3BCD" w:rsidRPr="002F47B6" w:rsidRDefault="00AC3BCD" w:rsidP="00AC3BCD">
      <w:pPr>
        <w:jc w:val="both"/>
        <w:rPr>
          <w:color w:val="000000"/>
          <w:sz w:val="8"/>
          <w:szCs w:val="8"/>
          <w:lang w:val="en-US"/>
        </w:rPr>
      </w:pPr>
    </w:p>
    <w:p w:rsidR="00AC3BCD" w:rsidRPr="002F47B6" w:rsidRDefault="00AC3BCD" w:rsidP="00AC3BCD">
      <w:pPr>
        <w:jc w:val="both"/>
        <w:rPr>
          <w:b/>
          <w:sz w:val="20"/>
          <w:szCs w:val="20"/>
        </w:rPr>
      </w:pPr>
      <w:r w:rsidRPr="002F47B6">
        <w:rPr>
          <w:b/>
          <w:sz w:val="20"/>
          <w:szCs w:val="20"/>
        </w:rPr>
        <w:t>Biography</w:t>
      </w:r>
    </w:p>
    <w:p w:rsidR="002F47B6" w:rsidRPr="002F47B6" w:rsidRDefault="002F47B6" w:rsidP="002F47B6">
      <w:pPr>
        <w:autoSpaceDE w:val="0"/>
        <w:autoSpaceDN w:val="0"/>
        <w:adjustRightInd w:val="0"/>
        <w:rPr>
          <w:sz w:val="20"/>
          <w:szCs w:val="20"/>
        </w:rPr>
      </w:pPr>
      <w:r w:rsidRPr="002F47B6">
        <w:rPr>
          <w:sz w:val="20"/>
          <w:szCs w:val="20"/>
        </w:rPr>
        <w:t>Dr Sergey V. Suchkov, MD, PhD</w:t>
      </w:r>
    </w:p>
    <w:p w:rsidR="002F47B6" w:rsidRPr="002F47B6" w:rsidRDefault="002F47B6" w:rsidP="002F47B6">
      <w:pPr>
        <w:autoSpaceDE w:val="0"/>
        <w:autoSpaceDN w:val="0"/>
        <w:adjustRightInd w:val="0"/>
        <w:rPr>
          <w:sz w:val="20"/>
          <w:szCs w:val="20"/>
        </w:rPr>
      </w:pPr>
      <w:r w:rsidRPr="002F47B6">
        <w:rPr>
          <w:sz w:val="20"/>
          <w:szCs w:val="20"/>
        </w:rPr>
        <w:t>Sergey Suchkov was born in the City of Astrakhan, Russia, in a family of dynasty medical doctors. In 1980, graduated from Astrakhan State Medical University and was awarded with MD. In 1985, Suchkov maintained his PhD as a PhD student of the I.M. Sechenov Moscow Medical Academy and Institute of Medical Enzymology. In 2001, Suchkov maintained his Doctor Degree at the National Institute of Immunology, Russia.</w:t>
      </w:r>
    </w:p>
    <w:p w:rsidR="002F47B6" w:rsidRPr="002F47B6" w:rsidRDefault="002F47B6" w:rsidP="002F47B6">
      <w:pPr>
        <w:autoSpaceDE w:val="0"/>
        <w:autoSpaceDN w:val="0"/>
        <w:adjustRightInd w:val="0"/>
        <w:rPr>
          <w:sz w:val="20"/>
          <w:szCs w:val="20"/>
        </w:rPr>
      </w:pPr>
      <w:r w:rsidRPr="002F47B6">
        <w:rPr>
          <w:sz w:val="20"/>
          <w:szCs w:val="20"/>
        </w:rPr>
        <w:t>From 1989 through 1995, Dr Suchkov was being a Head of the Lab of Clinical Immunology, Helmholtz Eye Research Institute in Moscow. From 1995 through 2004 - a Chair of the Dept for Clinical Immunology, Moscow Clinical Research Institute (MONIKI). In 1993-1996, Dr Suchkov was a Secretary-in-Chief of the Editorial Board, Biomedical Science, an international journal published jointly by the USSR Academy of Sciences and the Royal Society of Chemistry, UK.</w:t>
      </w:r>
    </w:p>
    <w:p w:rsidR="002F47B6" w:rsidRPr="002F47B6" w:rsidRDefault="002F47B6" w:rsidP="002F47B6">
      <w:pPr>
        <w:autoSpaceDE w:val="0"/>
        <w:autoSpaceDN w:val="0"/>
        <w:adjustRightInd w:val="0"/>
        <w:rPr>
          <w:sz w:val="20"/>
          <w:szCs w:val="20"/>
        </w:rPr>
      </w:pPr>
      <w:r w:rsidRPr="002F47B6">
        <w:rPr>
          <w:sz w:val="20"/>
          <w:szCs w:val="20"/>
        </w:rPr>
        <w:t>At present, Dr Sergey Suchkov, MD, PhD, is:</w:t>
      </w:r>
    </w:p>
    <w:p w:rsidR="002F47B6" w:rsidRPr="002F47B6" w:rsidRDefault="002F47B6" w:rsidP="002F47B6">
      <w:pPr>
        <w:autoSpaceDE w:val="0"/>
        <w:autoSpaceDN w:val="0"/>
        <w:adjustRightInd w:val="0"/>
        <w:rPr>
          <w:sz w:val="20"/>
          <w:szCs w:val="20"/>
        </w:rPr>
      </w:pPr>
      <w:r w:rsidRPr="002F47B6">
        <w:rPr>
          <w:sz w:val="20"/>
          <w:szCs w:val="20"/>
        </w:rPr>
        <w:t>● Professor and Chair, Dept for Personalized Medicine, Precision Nutriciology &amp; Biodesign, Moscow State University for Food Industry (MGUPP), Moscow, Russia</w:t>
      </w:r>
    </w:p>
    <w:p w:rsidR="002F47B6" w:rsidRPr="002F47B6" w:rsidRDefault="002F47B6" w:rsidP="002F47B6">
      <w:pPr>
        <w:autoSpaceDE w:val="0"/>
        <w:autoSpaceDN w:val="0"/>
        <w:adjustRightInd w:val="0"/>
        <w:rPr>
          <w:sz w:val="20"/>
          <w:szCs w:val="20"/>
        </w:rPr>
      </w:pPr>
      <w:r w:rsidRPr="002F47B6">
        <w:rPr>
          <w:sz w:val="20"/>
          <w:szCs w:val="20"/>
        </w:rPr>
        <w:t>● Professor, Dept of Clinical Immunology, A.I. Evdokimov Moscow State Medical and Dental University. Moscow, Russia</w:t>
      </w:r>
    </w:p>
    <w:p w:rsidR="002F47B6" w:rsidRPr="002F47B6" w:rsidRDefault="002F47B6" w:rsidP="002F47B6">
      <w:pPr>
        <w:autoSpaceDE w:val="0"/>
        <w:autoSpaceDN w:val="0"/>
        <w:adjustRightInd w:val="0"/>
        <w:rPr>
          <w:sz w:val="20"/>
          <w:szCs w:val="20"/>
        </w:rPr>
      </w:pPr>
      <w:r w:rsidRPr="002F47B6">
        <w:rPr>
          <w:sz w:val="20"/>
          <w:szCs w:val="20"/>
        </w:rPr>
        <w:t>● Secretary General, United Cultural Convention (UCC), Cambridge, UK.</w:t>
      </w:r>
    </w:p>
    <w:p w:rsidR="002F47B6" w:rsidRPr="002F47B6" w:rsidRDefault="002F47B6" w:rsidP="002F47B6">
      <w:pPr>
        <w:autoSpaceDE w:val="0"/>
        <w:autoSpaceDN w:val="0"/>
        <w:adjustRightInd w:val="0"/>
        <w:rPr>
          <w:sz w:val="20"/>
          <w:szCs w:val="20"/>
        </w:rPr>
      </w:pPr>
      <w:r w:rsidRPr="002F47B6">
        <w:rPr>
          <w:sz w:val="20"/>
          <w:szCs w:val="20"/>
        </w:rPr>
        <w:t>Dr Suchkov is a member of the:</w:t>
      </w:r>
    </w:p>
    <w:p w:rsidR="002F47B6" w:rsidRPr="002F47B6" w:rsidRDefault="002F47B6" w:rsidP="002F47B6">
      <w:pPr>
        <w:autoSpaceDE w:val="0"/>
        <w:autoSpaceDN w:val="0"/>
        <w:adjustRightInd w:val="0"/>
        <w:rPr>
          <w:sz w:val="20"/>
          <w:szCs w:val="20"/>
        </w:rPr>
      </w:pPr>
      <w:r w:rsidRPr="002F47B6">
        <w:rPr>
          <w:sz w:val="20"/>
          <w:szCs w:val="20"/>
        </w:rPr>
        <w:t>● New York Academy of Sciences, USA</w:t>
      </w:r>
    </w:p>
    <w:p w:rsidR="002F47B6" w:rsidRPr="002F47B6" w:rsidRDefault="002F47B6" w:rsidP="002F47B6">
      <w:pPr>
        <w:autoSpaceDE w:val="0"/>
        <w:autoSpaceDN w:val="0"/>
        <w:adjustRightInd w:val="0"/>
        <w:rPr>
          <w:sz w:val="20"/>
          <w:szCs w:val="20"/>
        </w:rPr>
      </w:pPr>
      <w:r w:rsidRPr="002F47B6">
        <w:rPr>
          <w:sz w:val="20"/>
          <w:szCs w:val="20"/>
        </w:rPr>
        <w:t>● American Chemical Society (ACS), USA;</w:t>
      </w:r>
    </w:p>
    <w:p w:rsidR="002F47B6" w:rsidRPr="002F47B6" w:rsidRDefault="002F47B6" w:rsidP="002F47B6">
      <w:pPr>
        <w:autoSpaceDE w:val="0"/>
        <w:autoSpaceDN w:val="0"/>
        <w:adjustRightInd w:val="0"/>
        <w:rPr>
          <w:sz w:val="20"/>
          <w:szCs w:val="20"/>
        </w:rPr>
      </w:pPr>
      <w:r w:rsidRPr="002F47B6">
        <w:rPr>
          <w:sz w:val="20"/>
          <w:szCs w:val="20"/>
        </w:rPr>
        <w:t>● American Heart Association (AHA), USA;</w:t>
      </w:r>
    </w:p>
    <w:p w:rsidR="002F47B6" w:rsidRPr="002F47B6" w:rsidRDefault="002F47B6" w:rsidP="002F47B6">
      <w:pPr>
        <w:autoSpaceDE w:val="0"/>
        <w:autoSpaceDN w:val="0"/>
        <w:adjustRightInd w:val="0"/>
        <w:rPr>
          <w:sz w:val="20"/>
          <w:szCs w:val="20"/>
        </w:rPr>
      </w:pPr>
      <w:r w:rsidRPr="002F47B6">
        <w:rPr>
          <w:sz w:val="20"/>
          <w:szCs w:val="20"/>
        </w:rPr>
        <w:t>● European Association for Medical Education (AMEE), Dundee, UK;</w:t>
      </w:r>
    </w:p>
    <w:p w:rsidR="002F47B6" w:rsidRPr="002F47B6" w:rsidRDefault="002F47B6" w:rsidP="002F47B6">
      <w:pPr>
        <w:autoSpaceDE w:val="0"/>
        <w:autoSpaceDN w:val="0"/>
        <w:adjustRightInd w:val="0"/>
        <w:rPr>
          <w:sz w:val="20"/>
          <w:szCs w:val="20"/>
        </w:rPr>
      </w:pPr>
      <w:r w:rsidRPr="002F47B6">
        <w:rPr>
          <w:sz w:val="20"/>
          <w:szCs w:val="20"/>
        </w:rPr>
        <w:t>● EPMA (European Association for Predictive, Preventive and Personalized Medicine), Brussels, EU;</w:t>
      </w:r>
    </w:p>
    <w:p w:rsidR="002F47B6" w:rsidRPr="002F47B6" w:rsidRDefault="002F47B6" w:rsidP="002F47B6">
      <w:pPr>
        <w:autoSpaceDE w:val="0"/>
        <w:autoSpaceDN w:val="0"/>
        <w:adjustRightInd w:val="0"/>
        <w:rPr>
          <w:sz w:val="20"/>
          <w:szCs w:val="20"/>
        </w:rPr>
      </w:pPr>
      <w:r w:rsidRPr="002F47B6">
        <w:rPr>
          <w:sz w:val="20"/>
          <w:szCs w:val="20"/>
        </w:rPr>
        <w:t>● ARVO (American Association for Research in Vision and Ophthalmology);</w:t>
      </w:r>
    </w:p>
    <w:p w:rsidR="002F47B6" w:rsidRPr="002F47B6" w:rsidRDefault="002F47B6" w:rsidP="002F47B6">
      <w:pPr>
        <w:autoSpaceDE w:val="0"/>
        <w:autoSpaceDN w:val="0"/>
        <w:adjustRightInd w:val="0"/>
        <w:rPr>
          <w:sz w:val="20"/>
          <w:szCs w:val="20"/>
        </w:rPr>
      </w:pPr>
      <w:r w:rsidRPr="002F47B6">
        <w:rPr>
          <w:sz w:val="20"/>
          <w:szCs w:val="20"/>
        </w:rPr>
        <w:t>● ISER (International Society for Eye Research);</w:t>
      </w:r>
    </w:p>
    <w:p w:rsidR="00AC3BCD" w:rsidRPr="002F47B6" w:rsidRDefault="002F47B6" w:rsidP="002F47B6">
      <w:pPr>
        <w:autoSpaceDE w:val="0"/>
        <w:autoSpaceDN w:val="0"/>
        <w:adjustRightInd w:val="0"/>
        <w:rPr>
          <w:sz w:val="20"/>
          <w:szCs w:val="20"/>
          <w:lang w:val="en-NZ"/>
        </w:rPr>
      </w:pPr>
      <w:r w:rsidRPr="002F47B6">
        <w:rPr>
          <w:sz w:val="20"/>
          <w:szCs w:val="20"/>
        </w:rPr>
        <w:t>● Personalized Medicine Coalition (PMC), Washington, DC, USA</w:t>
      </w:r>
      <w:r w:rsidR="00D367E3" w:rsidRPr="002F47B6">
        <w:rPr>
          <w:sz w:val="20"/>
          <w:szCs w:val="20"/>
          <w:lang w:val="en-NZ"/>
        </w:rPr>
        <w:t xml:space="preserve">Full name: </w:t>
      </w:r>
      <w:r w:rsidR="00DD3886" w:rsidRPr="002F47B6">
        <w:rPr>
          <w:sz w:val="20"/>
          <w:szCs w:val="20"/>
          <w:lang w:val="en-NZ"/>
        </w:rPr>
        <w:t>Sergey Suchkov</w:t>
      </w:r>
      <w:r w:rsidR="00072E30" w:rsidRPr="002F47B6">
        <w:rPr>
          <w:sz w:val="20"/>
          <w:szCs w:val="20"/>
          <w:lang w:val="en-NZ"/>
        </w:rPr>
        <w:br/>
        <w:t>Contact number:</w:t>
      </w:r>
      <w:r w:rsidR="00DD3886" w:rsidRPr="002F47B6">
        <w:rPr>
          <w:sz w:val="20"/>
          <w:szCs w:val="20"/>
          <w:lang w:val="en-NZ"/>
        </w:rPr>
        <w:t xml:space="preserve"> </w:t>
      </w:r>
      <w:r w:rsidR="00DD3886" w:rsidRPr="002F47B6">
        <w:rPr>
          <w:b/>
          <w:sz w:val="20"/>
          <w:szCs w:val="20"/>
          <w:lang w:val="en-NZ"/>
        </w:rPr>
        <w:t>ssuchkov57@gmail.com</w:t>
      </w:r>
      <w:r w:rsidR="00072E30" w:rsidRPr="002F47B6">
        <w:rPr>
          <w:b/>
          <w:sz w:val="20"/>
          <w:szCs w:val="20"/>
          <w:lang w:val="en-NZ"/>
        </w:rPr>
        <w:br/>
      </w:r>
      <w:r w:rsidR="00AC3BCD" w:rsidRPr="002F47B6">
        <w:rPr>
          <w:sz w:val="20"/>
          <w:szCs w:val="20"/>
          <w:lang w:val="en-NZ"/>
        </w:rPr>
        <w:t>Session</w:t>
      </w:r>
      <w:r w:rsidR="00DA581F" w:rsidRPr="002F47B6">
        <w:rPr>
          <w:sz w:val="20"/>
          <w:szCs w:val="20"/>
          <w:lang w:val="en-NZ"/>
        </w:rPr>
        <w:t xml:space="preserve"> </w:t>
      </w:r>
      <w:r w:rsidR="00085B88" w:rsidRPr="002F47B6">
        <w:rPr>
          <w:sz w:val="20"/>
          <w:szCs w:val="20"/>
          <w:lang w:val="en-NZ"/>
        </w:rPr>
        <w:t>n</w:t>
      </w:r>
      <w:r w:rsidR="00AC3BCD" w:rsidRPr="002F47B6">
        <w:rPr>
          <w:sz w:val="20"/>
          <w:szCs w:val="20"/>
          <w:lang w:val="en-NZ"/>
        </w:rPr>
        <w:t>ame</w:t>
      </w:r>
      <w:r w:rsidR="00DA581F" w:rsidRPr="002F47B6">
        <w:rPr>
          <w:sz w:val="20"/>
          <w:szCs w:val="20"/>
          <w:lang w:val="en-NZ"/>
        </w:rPr>
        <w:t>/ number</w:t>
      </w:r>
      <w:r w:rsidR="00AC3BCD" w:rsidRPr="002F47B6">
        <w:rPr>
          <w:sz w:val="20"/>
          <w:szCs w:val="20"/>
          <w:lang w:val="en-NZ"/>
        </w:rPr>
        <w:t>:</w:t>
      </w:r>
      <w:r w:rsidR="00DD3886" w:rsidRPr="002F47B6">
        <w:rPr>
          <w:sz w:val="20"/>
          <w:szCs w:val="20"/>
          <w:lang w:val="en-NZ"/>
        </w:rPr>
        <w:t xml:space="preserve"> </w:t>
      </w:r>
      <w:r w:rsidR="00DD3886" w:rsidRPr="002F47B6">
        <w:rPr>
          <w:b/>
          <w:sz w:val="20"/>
          <w:szCs w:val="20"/>
          <w:lang w:val="en-NZ"/>
        </w:rPr>
        <w:t>Keynote (Plenary)</w:t>
      </w:r>
      <w:r w:rsidR="00DD3886" w:rsidRPr="002F47B6">
        <w:rPr>
          <w:sz w:val="20"/>
          <w:szCs w:val="20"/>
          <w:lang w:val="en-NZ"/>
        </w:rPr>
        <w:t xml:space="preserve"> </w:t>
      </w:r>
      <w:r w:rsidR="00DD3886" w:rsidRPr="002F47B6">
        <w:rPr>
          <w:b/>
          <w:sz w:val="20"/>
          <w:szCs w:val="20"/>
          <w:lang w:val="en-NZ"/>
        </w:rPr>
        <w:t>speech</w:t>
      </w:r>
      <w:r w:rsidR="00AC3BCD" w:rsidRPr="002F47B6">
        <w:rPr>
          <w:b/>
          <w:sz w:val="20"/>
          <w:szCs w:val="20"/>
          <w:lang w:val="en-NZ"/>
        </w:rPr>
        <w:br/>
      </w:r>
      <w:r w:rsidR="00AC3BCD" w:rsidRPr="002F47B6">
        <w:rPr>
          <w:sz w:val="20"/>
          <w:szCs w:val="20"/>
          <w:lang w:val="en-NZ"/>
        </w:rPr>
        <w:t>Category: (</w:t>
      </w:r>
      <w:r w:rsidR="00AC3BCD" w:rsidRPr="002F47B6">
        <w:rPr>
          <w:b/>
          <w:sz w:val="20"/>
          <w:szCs w:val="20"/>
          <w:lang w:val="en-NZ"/>
        </w:rPr>
        <w:t>Oral presentation</w:t>
      </w:r>
      <w:r w:rsidR="00AC3BCD" w:rsidRPr="002F47B6">
        <w:rPr>
          <w:sz w:val="20"/>
          <w:szCs w:val="20"/>
          <w:lang w:val="en-NZ"/>
        </w:rPr>
        <w:t>/ Poster</w:t>
      </w:r>
      <w:r w:rsidR="00085B88" w:rsidRPr="002F47B6">
        <w:rPr>
          <w:sz w:val="20"/>
          <w:szCs w:val="20"/>
          <w:lang w:val="en-NZ"/>
        </w:rPr>
        <w:t xml:space="preserve"> presentation</w:t>
      </w:r>
      <w:r w:rsidR="00AC3BCD" w:rsidRPr="002F47B6">
        <w:rPr>
          <w:sz w:val="20"/>
          <w:szCs w:val="20"/>
          <w:lang w:val="en-NZ"/>
        </w:rPr>
        <w:t>)</w:t>
      </w:r>
      <w:r w:rsidR="00DD3886" w:rsidRPr="002F47B6">
        <w:rPr>
          <w:sz w:val="20"/>
          <w:szCs w:val="20"/>
          <w:lang w:val="en-NZ"/>
        </w:rPr>
        <w:t xml:space="preserve"> </w:t>
      </w:r>
    </w:p>
    <w:sectPr w:rsidR="00AC3BCD" w:rsidRPr="002F47B6"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CD7" w:rsidRDefault="008C5CD7" w:rsidP="00671A59">
      <w:r>
        <w:separator/>
      </w:r>
    </w:p>
  </w:endnote>
  <w:endnote w:type="continuationSeparator" w:id="0">
    <w:p w:rsidR="008C5CD7" w:rsidRDefault="008C5CD7"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CD7" w:rsidRDefault="008C5CD7" w:rsidP="00671A59">
      <w:r>
        <w:separator/>
      </w:r>
    </w:p>
  </w:footnote>
  <w:footnote w:type="continuationSeparator" w:id="0">
    <w:p w:rsidR="008C5CD7" w:rsidRDefault="008C5CD7"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1"/>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2804"/>
    <w:rsid w:val="002659F1"/>
    <w:rsid w:val="00270EC9"/>
    <w:rsid w:val="00292DC0"/>
    <w:rsid w:val="002B18D5"/>
    <w:rsid w:val="002C0F2B"/>
    <w:rsid w:val="002F47B6"/>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5C64"/>
    <w:rsid w:val="00746319"/>
    <w:rsid w:val="007875D1"/>
    <w:rsid w:val="00790C29"/>
    <w:rsid w:val="007F0333"/>
    <w:rsid w:val="00800D58"/>
    <w:rsid w:val="00834D93"/>
    <w:rsid w:val="00862283"/>
    <w:rsid w:val="008A3E9A"/>
    <w:rsid w:val="008A690F"/>
    <w:rsid w:val="008C5CD7"/>
    <w:rsid w:val="008D0DB9"/>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2A31"/>
    <w:rsid w:val="00B26097"/>
    <w:rsid w:val="00B27625"/>
    <w:rsid w:val="00B675D9"/>
    <w:rsid w:val="00BF5676"/>
    <w:rsid w:val="00CE08A2"/>
    <w:rsid w:val="00D367E3"/>
    <w:rsid w:val="00DA2249"/>
    <w:rsid w:val="00DA581F"/>
    <w:rsid w:val="00DC29A1"/>
    <w:rsid w:val="00DC7405"/>
    <w:rsid w:val="00DD3006"/>
    <w:rsid w:val="00DD388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D9A99B-4133-4F7B-B025-4E206124B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1283</Words>
  <Characters>7318</Characters>
  <Application>Microsoft Office Word</Application>
  <DocSecurity>0</DocSecurity>
  <Lines>60</Lines>
  <Paragraphs>17</Paragraphs>
  <ScaleCrop>false</ScaleCrop>
  <HeadingPairs>
    <vt:vector size="6" baseType="variant">
      <vt:variant>
        <vt:lpstr>Title</vt:lpstr>
      </vt:variant>
      <vt:variant>
        <vt:i4>1</vt:i4>
      </vt:variant>
      <vt:variant>
        <vt:lpstr>Название</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8584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2022-06-21T07:00:00Z</dcterms:created>
  <dcterms:modified xsi:type="dcterms:W3CDTF">2022-06-21T07:00:00Z</dcterms:modified>
</cp:coreProperties>
</file>