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C87EC" w14:textId="1DF8B6F9" w:rsidR="00145E76" w:rsidRPr="00145E76" w:rsidRDefault="00145E76" w:rsidP="00145E76">
      <w:pPr>
        <w:widowControl/>
        <w:rPr>
          <w:rFonts w:ascii="Times New Roman" w:eastAsia="Times New Roman" w:hAnsi="Times New Roman" w:cs="Times New Roman"/>
          <w:sz w:val="24"/>
          <w:szCs w:val="24"/>
          <w:lang w:val="en-IN" w:eastAsia="en-GB"/>
        </w:rPr>
      </w:pPr>
      <w:r w:rsidRPr="00145E76">
        <w:rPr>
          <w:rFonts w:ascii="Helvetica" w:eastAsia="Times New Roman" w:hAnsi="Helvetica" w:cs="Times New Roman"/>
          <w:b/>
          <w:bCs/>
          <w:color w:val="000000"/>
          <w:sz w:val="24"/>
          <w:szCs w:val="24"/>
          <w:lang w:val="en-IN" w:eastAsia="en-GB"/>
        </w:rPr>
        <w:t>COVID-19 pandemic and lockdown</w:t>
      </w:r>
      <w:r>
        <w:rPr>
          <w:rFonts w:ascii="Helvetica" w:eastAsia="Times New Roman" w:hAnsi="Helvetica" w:cs="Times New Roman"/>
          <w:b/>
          <w:bCs/>
          <w:color w:val="000000"/>
          <w:sz w:val="24"/>
          <w:szCs w:val="24"/>
          <w:lang w:val="en-IN" w:eastAsia="en-GB"/>
        </w:rPr>
        <w:t>:</w:t>
      </w:r>
      <w:r w:rsidRPr="00145E76">
        <w:rPr>
          <w:rFonts w:ascii="Helvetica" w:eastAsia="Times New Roman" w:hAnsi="Helvetica" w:cs="Times New Roman"/>
          <w:b/>
          <w:bCs/>
          <w:color w:val="000000"/>
          <w:sz w:val="24"/>
          <w:szCs w:val="24"/>
          <w:lang w:val="en-IN" w:eastAsia="en-GB"/>
        </w:rPr>
        <w:t xml:space="preserve"> Changing trends in Ophthalmology for in-patient and emergency services</w:t>
      </w:r>
    </w:p>
    <w:p w14:paraId="35B1A4BF"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7B0A0E32" w14:textId="77777777" w:rsidR="00AE3E37" w:rsidRDefault="00AE3E37">
      <w:pPr>
        <w:pStyle w:val="BodyText"/>
        <w:rPr>
          <w:rFonts w:ascii="Arial"/>
          <w:sz w:val="20"/>
        </w:rPr>
      </w:pPr>
    </w:p>
    <w:p w14:paraId="4BCF9A0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76562210" w14:textId="77777777" w:rsidR="00AE3E37" w:rsidRDefault="00A9710C">
      <w:pPr>
        <w:pStyle w:val="Heading3"/>
        <w:spacing w:before="147"/>
        <w:jc w:val="both"/>
      </w:pPr>
      <w:r>
        <w:rPr>
          <w:color w:val="BF5A14"/>
        </w:rPr>
        <w:t>Abstract</w:t>
      </w:r>
      <w:r w:rsidR="00404E5B">
        <w:rPr>
          <w:color w:val="BF5A14"/>
        </w:rPr>
        <w:t xml:space="preserve"> (300 word limit)</w:t>
      </w:r>
    </w:p>
    <w:p w14:paraId="178CCAE4" w14:textId="749BCE1E" w:rsidR="00AE3E37" w:rsidRPr="00145E76" w:rsidRDefault="00145E76" w:rsidP="00145E76">
      <w:pPr>
        <w:pStyle w:val="Heading3"/>
        <w:spacing w:before="74"/>
        <w:rPr>
          <w:rFonts w:ascii="Tw Cen MT" w:eastAsia="Tw Cen MT" w:hAnsi="Tw Cen MT" w:cs="Tw Cen MT"/>
          <w:b w:val="0"/>
          <w:bCs w:val="0"/>
          <w:sz w:val="18"/>
          <w:szCs w:val="18"/>
        </w:rPr>
      </w:pPr>
      <w:r w:rsidRPr="00145E76">
        <w:rPr>
          <w:rFonts w:ascii="Tw Cen MT" w:eastAsia="Tw Cen MT" w:hAnsi="Tw Cen MT" w:cs="Tw Cen MT"/>
          <w:sz w:val="18"/>
          <w:szCs w:val="18"/>
        </w:rPr>
        <w:t>Statement of the problem</w:t>
      </w:r>
      <w:r w:rsidRPr="00145E76">
        <w:rPr>
          <w:rFonts w:ascii="Tw Cen MT" w:eastAsia="Tw Cen MT" w:hAnsi="Tw Cen MT" w:cs="Tw Cen MT"/>
          <w:sz w:val="18"/>
          <w:szCs w:val="18"/>
        </w:rPr>
        <w:t>:</w:t>
      </w:r>
      <w:r w:rsidRPr="00145E76">
        <w:rPr>
          <w:rFonts w:ascii="Tw Cen MT" w:eastAsia="Tw Cen MT" w:hAnsi="Tw Cen MT" w:cs="Tw Cen MT"/>
          <w:b w:val="0"/>
          <w:bCs w:val="0"/>
          <w:sz w:val="18"/>
          <w:szCs w:val="18"/>
        </w:rPr>
        <w:t xml:space="preserve"> </w:t>
      </w:r>
      <w:r>
        <w:rPr>
          <w:rFonts w:ascii="Tw Cen MT" w:eastAsia="Tw Cen MT" w:hAnsi="Tw Cen MT" w:cs="Tw Cen MT"/>
          <w:b w:val="0"/>
          <w:bCs w:val="0"/>
          <w:sz w:val="18"/>
          <w:szCs w:val="18"/>
        </w:rPr>
        <w:t>C</w:t>
      </w:r>
      <w:r w:rsidRPr="00145E76">
        <w:rPr>
          <w:rFonts w:ascii="Tw Cen MT" w:eastAsia="Tw Cen MT" w:hAnsi="Tw Cen MT" w:cs="Tw Cen MT"/>
          <w:b w:val="0"/>
          <w:bCs w:val="0"/>
          <w:sz w:val="18"/>
          <w:szCs w:val="18"/>
        </w:rPr>
        <w:t xml:space="preserve">hanging trends in terms of patient load, presenting complaints, surgical </w:t>
      </w:r>
      <w:r w:rsidRPr="00145E76">
        <w:rPr>
          <w:rFonts w:ascii="Tw Cen MT" w:eastAsia="Tw Cen MT" w:hAnsi="Tw Cen MT" w:cs="Tw Cen MT"/>
          <w:b w:val="0"/>
          <w:bCs w:val="0"/>
          <w:sz w:val="18"/>
          <w:szCs w:val="18"/>
        </w:rPr>
        <w:t>procedures,</w:t>
      </w:r>
      <w:r w:rsidRPr="00145E76">
        <w:rPr>
          <w:rFonts w:ascii="Tw Cen MT" w:eastAsia="Tw Cen MT" w:hAnsi="Tw Cen MT" w:cs="Tw Cen MT"/>
          <w:b w:val="0"/>
          <w:bCs w:val="0"/>
          <w:sz w:val="18"/>
          <w:szCs w:val="18"/>
        </w:rPr>
        <w:t xml:space="preserve"> and resource utilization in a </w:t>
      </w:r>
      <w:r w:rsidRPr="00145E76">
        <w:rPr>
          <w:rFonts w:ascii="Tw Cen MT" w:eastAsia="Tw Cen MT" w:hAnsi="Tw Cen MT" w:cs="Tw Cen MT"/>
          <w:b w:val="0"/>
          <w:bCs w:val="0"/>
          <w:sz w:val="18"/>
          <w:szCs w:val="18"/>
        </w:rPr>
        <w:t>multispecialty</w:t>
      </w:r>
      <w:r w:rsidRPr="00145E76">
        <w:rPr>
          <w:rFonts w:ascii="Tw Cen MT" w:eastAsia="Tw Cen MT" w:hAnsi="Tw Cen MT" w:cs="Tw Cen MT"/>
          <w:b w:val="0"/>
          <w:bCs w:val="0"/>
          <w:sz w:val="18"/>
          <w:szCs w:val="18"/>
        </w:rPr>
        <w:t xml:space="preserve"> tertiary care hospital </w:t>
      </w:r>
      <w:r>
        <w:rPr>
          <w:rFonts w:ascii="Tw Cen MT" w:eastAsia="Tw Cen MT" w:hAnsi="Tw Cen MT" w:cs="Tw Cen MT"/>
          <w:b w:val="0"/>
          <w:bCs w:val="0"/>
          <w:sz w:val="18"/>
          <w:szCs w:val="18"/>
        </w:rPr>
        <w:t xml:space="preserve">have been noted </w:t>
      </w:r>
      <w:r w:rsidRPr="00145E76">
        <w:rPr>
          <w:rFonts w:ascii="Tw Cen MT" w:eastAsia="Tw Cen MT" w:hAnsi="Tw Cen MT" w:cs="Tw Cen MT"/>
          <w:b w:val="0"/>
          <w:bCs w:val="0"/>
          <w:sz w:val="18"/>
          <w:szCs w:val="18"/>
        </w:rPr>
        <w:t>after</w:t>
      </w:r>
      <w:r>
        <w:rPr>
          <w:rFonts w:ascii="Tw Cen MT" w:eastAsia="Tw Cen MT" w:hAnsi="Tw Cen MT" w:cs="Tw Cen MT"/>
          <w:b w:val="0"/>
          <w:bCs w:val="0"/>
          <w:sz w:val="18"/>
          <w:szCs w:val="18"/>
        </w:rPr>
        <w:t xml:space="preserve"> </w:t>
      </w:r>
      <w:r w:rsidRPr="00145E76">
        <w:rPr>
          <w:rFonts w:ascii="Tw Cen MT" w:eastAsia="Tw Cen MT" w:hAnsi="Tw Cen MT" w:cs="Tw Cen MT"/>
          <w:b w:val="0"/>
          <w:bCs w:val="0"/>
          <w:sz w:val="18"/>
          <w:szCs w:val="18"/>
        </w:rPr>
        <w:t xml:space="preserve">lockdown due to COVID-19. </w:t>
      </w:r>
      <w:r w:rsidRPr="00145E76">
        <w:rPr>
          <w:rFonts w:ascii="Tw Cen MT" w:eastAsia="Tw Cen MT" w:hAnsi="Tw Cen MT" w:cs="Tw Cen MT"/>
          <w:sz w:val="18"/>
          <w:szCs w:val="18"/>
        </w:rPr>
        <w:t>Methods:</w:t>
      </w:r>
      <w:r w:rsidRPr="00145E76">
        <w:rPr>
          <w:rFonts w:ascii="Tw Cen MT" w:eastAsia="Tw Cen MT" w:hAnsi="Tw Cen MT" w:cs="Tw Cen MT"/>
          <w:b w:val="0"/>
          <w:bCs w:val="0"/>
          <w:sz w:val="18"/>
          <w:szCs w:val="18"/>
        </w:rPr>
        <w:t xml:space="preserve"> Retrospective data were collected from Ophthalmology in-patient and emergency services of a government medical college and multispecialty tertiary care hospital </w:t>
      </w:r>
      <w:r w:rsidRPr="00145E76">
        <w:rPr>
          <w:rFonts w:ascii="Tw Cen MT" w:eastAsia="Tw Cen MT" w:hAnsi="Tw Cen MT" w:cs="Tw Cen MT"/>
          <w:b w:val="0"/>
          <w:bCs w:val="0"/>
          <w:sz w:val="18"/>
          <w:szCs w:val="18"/>
        </w:rPr>
        <w:t>in North</w:t>
      </w:r>
      <w:r w:rsidRPr="00145E76">
        <w:rPr>
          <w:rFonts w:ascii="Tw Cen MT" w:eastAsia="Tw Cen MT" w:hAnsi="Tw Cen MT" w:cs="Tw Cen MT"/>
          <w:b w:val="0"/>
          <w:bCs w:val="0"/>
          <w:sz w:val="18"/>
          <w:szCs w:val="18"/>
        </w:rPr>
        <w:t xml:space="preserve"> India. Data pertaining to patient census, presenting complaints, surgical procedures and resource consumption were compared in the 6-month period (March 25 to September 30, 2020) following national lockdown and subsequent gradual unlock to data of same </w:t>
      </w:r>
      <w:r w:rsidRPr="00145E76">
        <w:rPr>
          <w:rFonts w:ascii="Tw Cen MT" w:eastAsia="Tw Cen MT" w:hAnsi="Tw Cen MT" w:cs="Tw Cen MT"/>
          <w:b w:val="0"/>
          <w:bCs w:val="0"/>
          <w:sz w:val="18"/>
          <w:szCs w:val="18"/>
        </w:rPr>
        <w:t>period</w:t>
      </w:r>
      <w:r w:rsidRPr="00145E76">
        <w:rPr>
          <w:rFonts w:ascii="Tw Cen MT" w:eastAsia="Tw Cen MT" w:hAnsi="Tw Cen MT" w:cs="Tw Cen MT"/>
          <w:b w:val="0"/>
          <w:bCs w:val="0"/>
          <w:sz w:val="18"/>
          <w:szCs w:val="18"/>
        </w:rPr>
        <w:t xml:space="preserve"> </w:t>
      </w:r>
      <w:r>
        <w:rPr>
          <w:rFonts w:ascii="Tw Cen MT" w:eastAsia="Tw Cen MT" w:hAnsi="Tw Cen MT" w:cs="Tw Cen MT"/>
          <w:b w:val="0"/>
          <w:bCs w:val="0"/>
          <w:sz w:val="18"/>
          <w:szCs w:val="18"/>
        </w:rPr>
        <w:t>of the previous</w:t>
      </w:r>
      <w:r w:rsidRPr="00145E76">
        <w:rPr>
          <w:rFonts w:ascii="Tw Cen MT" w:eastAsia="Tw Cen MT" w:hAnsi="Tw Cen MT" w:cs="Tw Cen MT"/>
          <w:b w:val="0"/>
          <w:bCs w:val="0"/>
          <w:sz w:val="18"/>
          <w:szCs w:val="18"/>
        </w:rPr>
        <w:t xml:space="preserve"> year. </w:t>
      </w:r>
      <w:r w:rsidRPr="00145E76">
        <w:rPr>
          <w:rFonts w:ascii="Tw Cen MT" w:eastAsia="Tw Cen MT" w:hAnsi="Tw Cen MT" w:cs="Tw Cen MT"/>
          <w:sz w:val="18"/>
          <w:szCs w:val="18"/>
        </w:rPr>
        <w:t>Findings</w:t>
      </w:r>
      <w:r w:rsidRPr="00145E76">
        <w:rPr>
          <w:rFonts w:ascii="Tw Cen MT" w:eastAsia="Tw Cen MT" w:hAnsi="Tw Cen MT" w:cs="Tw Cen MT"/>
          <w:sz w:val="18"/>
          <w:szCs w:val="18"/>
        </w:rPr>
        <w:t>:</w:t>
      </w:r>
      <w:r w:rsidRPr="00145E76">
        <w:rPr>
          <w:rFonts w:ascii="Tw Cen MT" w:eastAsia="Tw Cen MT" w:hAnsi="Tw Cen MT" w:cs="Tw Cen MT"/>
          <w:b w:val="0"/>
          <w:bCs w:val="0"/>
          <w:sz w:val="18"/>
          <w:szCs w:val="18"/>
        </w:rPr>
        <w:t xml:space="preserve"> A total of 1152 new patients visited Ophthalmology emergency service, whereas 324 sought tele-ophthalmology consultation. Majority were males (61.8%, n = 712), whereas average age of presentation was 34 ± 7.2 years. The number of patients seeking emergency ophthalmic care reduced by 23.9% in the current year, in-patient record reduced by 96.53% and number of surgeries reduced by 98.13%. Tele-ophthalmology services comprised 21.95% of the total patient load. Use of triple layered surgical masks increased by 85.7%, use of disposable gloves increased by 89.5% but interestingly the availability of chlorhexidine hand rub fell by 15.9%, in the current year compared to last year. </w:t>
      </w:r>
      <w:r w:rsidRPr="00145E76">
        <w:rPr>
          <w:rFonts w:ascii="Tw Cen MT" w:eastAsia="Tw Cen MT" w:hAnsi="Tw Cen MT" w:cs="Tw Cen MT"/>
          <w:sz w:val="18"/>
          <w:szCs w:val="18"/>
        </w:rPr>
        <w:t>Conclusion</w:t>
      </w:r>
      <w:r w:rsidRPr="00145E76">
        <w:rPr>
          <w:rFonts w:ascii="Tw Cen MT" w:eastAsia="Tw Cen MT" w:hAnsi="Tw Cen MT" w:cs="Tw Cen MT"/>
          <w:sz w:val="18"/>
          <w:szCs w:val="18"/>
        </w:rPr>
        <w:t xml:space="preserve"> and Significance</w:t>
      </w:r>
      <w:r w:rsidRPr="00145E76">
        <w:rPr>
          <w:rFonts w:ascii="Tw Cen MT" w:eastAsia="Tw Cen MT" w:hAnsi="Tw Cen MT" w:cs="Tw Cen MT"/>
          <w:sz w:val="18"/>
          <w:szCs w:val="18"/>
        </w:rPr>
        <w:t xml:space="preserve">: </w:t>
      </w:r>
      <w:r w:rsidRPr="00145E76">
        <w:rPr>
          <w:rFonts w:ascii="Tw Cen MT" w:eastAsia="Tw Cen MT" w:hAnsi="Tw Cen MT" w:cs="Tw Cen MT"/>
          <w:b w:val="0"/>
          <w:bCs w:val="0"/>
          <w:sz w:val="18"/>
          <w:szCs w:val="18"/>
        </w:rPr>
        <w:t xml:space="preserve">COVID-19 pandemic and lockdown have reduced the number of patients visiting tertiary health care facility for ophthalmic care. As manpower and resource consumption has increased, smart management is needed to tackle the current scenario efficiently. Tele-ophthalmology must be </w:t>
      </w:r>
      <w:proofErr w:type="gramStart"/>
      <w:r w:rsidRPr="00145E76">
        <w:rPr>
          <w:rFonts w:ascii="Tw Cen MT" w:eastAsia="Tw Cen MT" w:hAnsi="Tw Cen MT" w:cs="Tw Cen MT"/>
          <w:b w:val="0"/>
          <w:bCs w:val="0"/>
          <w:sz w:val="18"/>
          <w:szCs w:val="18"/>
        </w:rPr>
        <w:t>promoted</w:t>
      </w:r>
      <w:proofErr w:type="gramEnd"/>
      <w:r w:rsidRPr="00145E76">
        <w:rPr>
          <w:rFonts w:ascii="Tw Cen MT" w:eastAsia="Tw Cen MT" w:hAnsi="Tw Cen MT" w:cs="Tw Cen MT"/>
          <w:b w:val="0"/>
          <w:bCs w:val="0"/>
          <w:sz w:val="18"/>
          <w:szCs w:val="18"/>
        </w:rPr>
        <w:t xml:space="preserve"> and we must understand the changing trends to plan for the future accordingly.</w:t>
      </w:r>
      <w:r w:rsidR="00A9710C">
        <w:rPr>
          <w:b w:val="0"/>
        </w:rPr>
        <w:br w:type="column"/>
      </w:r>
      <w:r w:rsidR="00A9710C">
        <w:rPr>
          <w:color w:val="BF5A14"/>
        </w:rPr>
        <w:t>Image</w:t>
      </w:r>
    </w:p>
    <w:p w14:paraId="0F50416E" w14:textId="183F53FB" w:rsidR="00AE3E37" w:rsidRDefault="00AE3E37">
      <w:pPr>
        <w:pStyle w:val="BodyText"/>
        <w:spacing w:before="2"/>
        <w:rPr>
          <w:rFonts w:ascii="Arial"/>
          <w:b/>
          <w:sz w:val="16"/>
        </w:rPr>
      </w:pPr>
    </w:p>
    <w:p w14:paraId="14EAE012"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7407C4F" w14:textId="04EDD406" w:rsidR="00DC2145" w:rsidRPr="00DC2145" w:rsidRDefault="00DC2145" w:rsidP="00DC2145">
      <w:pPr>
        <w:tabs>
          <w:tab w:val="left" w:pos="384"/>
        </w:tabs>
        <w:ind w:right="117"/>
        <w:rPr>
          <w:rFonts w:ascii="Calibri" w:eastAsia="Calibri" w:hAnsi="Calibri" w:cs="Calibri"/>
          <w:sz w:val="18"/>
        </w:rPr>
      </w:pPr>
      <w:r>
        <w:rPr>
          <w:rFonts w:ascii="Calibri" w:eastAsia="Calibri" w:hAnsi="Calibri" w:cs="Calibri"/>
          <w:sz w:val="18"/>
        </w:rPr>
        <w:t>1</w:t>
      </w:r>
      <w:r w:rsidRPr="00DC2145">
        <w:rPr>
          <w:rFonts w:ascii="Calibri" w:eastAsia="Calibri" w:hAnsi="Calibri" w:cs="Calibri"/>
          <w:sz w:val="18"/>
        </w:rPr>
        <w:t xml:space="preserve">. Lockdown extended to Phase 4: Here is looking into the dates of all the lockdowns </w:t>
      </w:r>
      <w:proofErr w:type="spellStart"/>
      <w:r w:rsidRPr="00DC2145">
        <w:rPr>
          <w:rFonts w:ascii="Calibri" w:eastAsia="Calibri" w:hAnsi="Calibri" w:cs="Calibri"/>
          <w:sz w:val="18"/>
        </w:rPr>
        <w:t>uptil</w:t>
      </w:r>
      <w:proofErr w:type="spellEnd"/>
      <w:r w:rsidRPr="00DC2145">
        <w:rPr>
          <w:rFonts w:ascii="Calibri" w:eastAsia="Calibri" w:hAnsi="Calibri" w:cs="Calibri"/>
          <w:sz w:val="18"/>
        </w:rPr>
        <w:t xml:space="preserve"> now. Available from: https://www. timesnownews.com/</w:t>
      </w:r>
      <w:proofErr w:type="spellStart"/>
      <w:r w:rsidRPr="00DC2145">
        <w:rPr>
          <w:rFonts w:ascii="Calibri" w:eastAsia="Calibri" w:hAnsi="Calibri" w:cs="Calibri"/>
          <w:sz w:val="18"/>
        </w:rPr>
        <w:t>india</w:t>
      </w:r>
      <w:proofErr w:type="spellEnd"/>
      <w:r w:rsidRPr="00DC2145">
        <w:rPr>
          <w:rFonts w:ascii="Calibri" w:eastAsia="Calibri" w:hAnsi="Calibri" w:cs="Calibri"/>
          <w:sz w:val="18"/>
        </w:rPr>
        <w:t>/article/</w:t>
      </w:r>
      <w:proofErr w:type="spellStart"/>
      <w:r w:rsidRPr="00DC2145">
        <w:rPr>
          <w:rFonts w:ascii="Calibri" w:eastAsia="Calibri" w:hAnsi="Calibri" w:cs="Calibri"/>
          <w:sz w:val="18"/>
        </w:rPr>
        <w:t>india</w:t>
      </w:r>
      <w:proofErr w:type="spellEnd"/>
      <w:r w:rsidRPr="00DC2145">
        <w:rPr>
          <w:rFonts w:ascii="Calibri" w:eastAsia="Calibri" w:hAnsi="Calibri" w:cs="Calibri"/>
          <w:sz w:val="18"/>
        </w:rPr>
        <w:t>-coronavirus-lockdown-e xtended-to-phase-4-here-is-looking-into-the-dates-of-all-the-lock downs-</w:t>
      </w:r>
      <w:proofErr w:type="spellStart"/>
      <w:r w:rsidRPr="00DC2145">
        <w:rPr>
          <w:rFonts w:ascii="Calibri" w:eastAsia="Calibri" w:hAnsi="Calibri" w:cs="Calibri"/>
          <w:sz w:val="18"/>
        </w:rPr>
        <w:t>uptil</w:t>
      </w:r>
      <w:proofErr w:type="spellEnd"/>
      <w:r w:rsidRPr="00DC2145">
        <w:rPr>
          <w:rFonts w:ascii="Calibri" w:eastAsia="Calibri" w:hAnsi="Calibri" w:cs="Calibri"/>
          <w:sz w:val="18"/>
        </w:rPr>
        <w:t>-now/585837.</w:t>
      </w:r>
    </w:p>
    <w:p w14:paraId="4FED9DE4" w14:textId="6AC5928C" w:rsidR="00DC2145" w:rsidRPr="00DC2145" w:rsidRDefault="00DC2145" w:rsidP="00DC2145">
      <w:pPr>
        <w:tabs>
          <w:tab w:val="left" w:pos="384"/>
        </w:tabs>
        <w:ind w:right="117"/>
        <w:rPr>
          <w:rFonts w:ascii="Calibri" w:eastAsia="Calibri" w:hAnsi="Calibri" w:cs="Calibri"/>
          <w:sz w:val="18"/>
        </w:rPr>
      </w:pPr>
      <w:r>
        <w:rPr>
          <w:rFonts w:ascii="Calibri" w:eastAsia="Calibri" w:hAnsi="Calibri" w:cs="Calibri"/>
          <w:sz w:val="18"/>
        </w:rPr>
        <w:t>2</w:t>
      </w:r>
      <w:r w:rsidRPr="00DC2145">
        <w:rPr>
          <w:rFonts w:ascii="Calibri" w:eastAsia="Calibri" w:hAnsi="Calibri" w:cs="Calibri"/>
          <w:sz w:val="18"/>
        </w:rPr>
        <w:t xml:space="preserve">. </w:t>
      </w:r>
      <w:proofErr w:type="spellStart"/>
      <w:r w:rsidRPr="00DC2145">
        <w:rPr>
          <w:rFonts w:ascii="Calibri" w:eastAsia="Calibri" w:hAnsi="Calibri" w:cs="Calibri"/>
          <w:sz w:val="18"/>
        </w:rPr>
        <w:t>Vashist</w:t>
      </w:r>
      <w:proofErr w:type="spellEnd"/>
      <w:r w:rsidRPr="00DC2145">
        <w:rPr>
          <w:rFonts w:ascii="Calibri" w:eastAsia="Calibri" w:hAnsi="Calibri" w:cs="Calibri"/>
          <w:sz w:val="18"/>
        </w:rPr>
        <w:t xml:space="preserve"> P, </w:t>
      </w:r>
      <w:proofErr w:type="spellStart"/>
      <w:r w:rsidRPr="00DC2145">
        <w:rPr>
          <w:rFonts w:ascii="Calibri" w:eastAsia="Calibri" w:hAnsi="Calibri" w:cs="Calibri"/>
          <w:sz w:val="18"/>
        </w:rPr>
        <w:t>Senjam</w:t>
      </w:r>
      <w:proofErr w:type="spellEnd"/>
      <w:r w:rsidRPr="00DC2145">
        <w:rPr>
          <w:rFonts w:ascii="Calibri" w:eastAsia="Calibri" w:hAnsi="Calibri" w:cs="Calibri"/>
          <w:sz w:val="18"/>
        </w:rPr>
        <w:t xml:space="preserve"> SS, Gupta V, Manna S, Agrawal S, Gupta N, et al. Community eye-health and vision center guidelines during COVID-19 pandemic in India. Indian J </w:t>
      </w:r>
      <w:proofErr w:type="spellStart"/>
      <w:r w:rsidRPr="00DC2145">
        <w:rPr>
          <w:rFonts w:ascii="Calibri" w:eastAsia="Calibri" w:hAnsi="Calibri" w:cs="Calibri"/>
          <w:sz w:val="18"/>
        </w:rPr>
        <w:t>Ophthalmol</w:t>
      </w:r>
      <w:proofErr w:type="spellEnd"/>
      <w:r w:rsidRPr="00DC2145">
        <w:rPr>
          <w:rFonts w:ascii="Calibri" w:eastAsia="Calibri" w:hAnsi="Calibri" w:cs="Calibri"/>
          <w:sz w:val="18"/>
        </w:rPr>
        <w:t xml:space="preserve"> </w:t>
      </w:r>
      <w:proofErr w:type="gramStart"/>
      <w:r w:rsidRPr="00DC2145">
        <w:rPr>
          <w:rFonts w:ascii="Calibri" w:eastAsia="Calibri" w:hAnsi="Calibri" w:cs="Calibri"/>
          <w:sz w:val="18"/>
        </w:rPr>
        <w:t>2020;68:1306</w:t>
      </w:r>
      <w:proofErr w:type="gramEnd"/>
      <w:r w:rsidRPr="00DC2145">
        <w:rPr>
          <w:rFonts w:ascii="Calibri" w:eastAsia="Calibri" w:hAnsi="Calibri" w:cs="Calibri"/>
          <w:sz w:val="18"/>
        </w:rPr>
        <w:t>-11.</w:t>
      </w:r>
    </w:p>
    <w:p w14:paraId="69CF20B2" w14:textId="0F4FD6BD" w:rsidR="00DC2145" w:rsidRPr="00DC2145" w:rsidRDefault="00DC2145" w:rsidP="00DC2145">
      <w:pPr>
        <w:tabs>
          <w:tab w:val="left" w:pos="384"/>
        </w:tabs>
        <w:ind w:right="117"/>
        <w:rPr>
          <w:rFonts w:ascii="Calibri" w:eastAsia="Calibri" w:hAnsi="Calibri" w:cs="Calibri"/>
          <w:sz w:val="18"/>
        </w:rPr>
      </w:pPr>
      <w:r>
        <w:rPr>
          <w:rFonts w:ascii="Calibri" w:eastAsia="Calibri" w:hAnsi="Calibri" w:cs="Calibri"/>
          <w:sz w:val="18"/>
        </w:rPr>
        <w:t>3</w:t>
      </w:r>
      <w:r w:rsidRPr="00DC2145">
        <w:rPr>
          <w:rFonts w:ascii="Calibri" w:eastAsia="Calibri" w:hAnsi="Calibri" w:cs="Calibri"/>
          <w:sz w:val="18"/>
        </w:rPr>
        <w:t>. Unlock 4.0 guidelines: Metro to start September 7, no state lockdowns outside containment zones. Available from: https://indianexpress. com/article/</w:t>
      </w:r>
      <w:proofErr w:type="spellStart"/>
      <w:r w:rsidRPr="00DC2145">
        <w:rPr>
          <w:rFonts w:ascii="Calibri" w:eastAsia="Calibri" w:hAnsi="Calibri" w:cs="Calibri"/>
          <w:sz w:val="18"/>
        </w:rPr>
        <w:t>india</w:t>
      </w:r>
      <w:proofErr w:type="spellEnd"/>
      <w:r w:rsidRPr="00DC2145">
        <w:rPr>
          <w:rFonts w:ascii="Calibri" w:eastAsia="Calibri" w:hAnsi="Calibri" w:cs="Calibri"/>
          <w:sz w:val="18"/>
        </w:rPr>
        <w:t xml:space="preserve">/india-unlock-4-0-guidelines-6575245/. </w:t>
      </w:r>
    </w:p>
    <w:p w14:paraId="00547C73" w14:textId="32EBA8F9" w:rsidR="00AE3E37" w:rsidRDefault="00DC2145" w:rsidP="00DC2145">
      <w:pPr>
        <w:tabs>
          <w:tab w:val="left" w:pos="384"/>
        </w:tabs>
        <w:ind w:right="117"/>
        <w:rPr>
          <w:rFonts w:ascii="Calibri" w:eastAsia="Calibri" w:hAnsi="Calibri" w:cs="Calibri"/>
          <w:sz w:val="18"/>
        </w:rPr>
      </w:pPr>
      <w:r>
        <w:rPr>
          <w:rFonts w:ascii="Calibri" w:eastAsia="Calibri" w:hAnsi="Calibri" w:cs="Calibri"/>
          <w:sz w:val="18"/>
        </w:rPr>
        <w:t>4</w:t>
      </w:r>
      <w:r w:rsidRPr="00DC2145">
        <w:rPr>
          <w:rFonts w:ascii="Calibri" w:eastAsia="Calibri" w:hAnsi="Calibri" w:cs="Calibri"/>
          <w:sz w:val="18"/>
        </w:rPr>
        <w:t xml:space="preserve">. Sengupta S, </w:t>
      </w:r>
      <w:proofErr w:type="spellStart"/>
      <w:r w:rsidRPr="00DC2145">
        <w:rPr>
          <w:rFonts w:ascii="Calibri" w:eastAsia="Calibri" w:hAnsi="Calibri" w:cs="Calibri"/>
          <w:sz w:val="18"/>
        </w:rPr>
        <w:t>Honavar</w:t>
      </w:r>
      <w:proofErr w:type="spellEnd"/>
      <w:r w:rsidRPr="00DC2145">
        <w:rPr>
          <w:rFonts w:ascii="Calibri" w:eastAsia="Calibri" w:hAnsi="Calibri" w:cs="Calibri"/>
          <w:sz w:val="18"/>
        </w:rPr>
        <w:t xml:space="preserve"> GS, Sachdev MS, Sharma N, Ram J, Shetty R, et al. Writing committee on behalf of the </w:t>
      </w:r>
      <w:proofErr w:type="gramStart"/>
      <w:r w:rsidRPr="00DC2145">
        <w:rPr>
          <w:rFonts w:ascii="Calibri" w:eastAsia="Calibri" w:hAnsi="Calibri" w:cs="Calibri"/>
          <w:sz w:val="18"/>
        </w:rPr>
        <w:t>All India</w:t>
      </w:r>
      <w:proofErr w:type="gramEnd"/>
      <w:r w:rsidRPr="00DC2145">
        <w:rPr>
          <w:rFonts w:ascii="Calibri" w:eastAsia="Calibri" w:hAnsi="Calibri" w:cs="Calibri"/>
          <w:sz w:val="18"/>
        </w:rPr>
        <w:t xml:space="preserve"> Ophthalmological Society – Indian Journal of Ophthalmology consensus statement on the preferred practices during the COVID-19 pandemic. Indian J </w:t>
      </w:r>
      <w:proofErr w:type="spellStart"/>
      <w:r w:rsidRPr="00DC2145">
        <w:rPr>
          <w:rFonts w:ascii="Calibri" w:eastAsia="Calibri" w:hAnsi="Calibri" w:cs="Calibri"/>
          <w:sz w:val="18"/>
        </w:rPr>
        <w:t>Ophthalmol</w:t>
      </w:r>
      <w:proofErr w:type="spellEnd"/>
      <w:r w:rsidRPr="00DC2145">
        <w:rPr>
          <w:rFonts w:ascii="Calibri" w:eastAsia="Calibri" w:hAnsi="Calibri" w:cs="Calibri"/>
          <w:sz w:val="18"/>
        </w:rPr>
        <w:t xml:space="preserve"> </w:t>
      </w:r>
      <w:proofErr w:type="gramStart"/>
      <w:r w:rsidRPr="00DC2145">
        <w:rPr>
          <w:rFonts w:ascii="Calibri" w:eastAsia="Calibri" w:hAnsi="Calibri" w:cs="Calibri"/>
          <w:sz w:val="18"/>
        </w:rPr>
        <w:t>2020;68:711</w:t>
      </w:r>
      <w:proofErr w:type="gramEnd"/>
      <w:r w:rsidRPr="00DC2145">
        <w:rPr>
          <w:rFonts w:ascii="Calibri" w:eastAsia="Calibri" w:hAnsi="Calibri" w:cs="Calibri"/>
          <w:sz w:val="18"/>
        </w:rPr>
        <w:t>-24.</w:t>
      </w:r>
    </w:p>
    <w:p w14:paraId="3EC1F26C" w14:textId="029741E9" w:rsidR="00DC2145" w:rsidRPr="00DC2145" w:rsidRDefault="00DC2145" w:rsidP="00DC2145">
      <w:pPr>
        <w:tabs>
          <w:tab w:val="left" w:pos="384"/>
        </w:tabs>
        <w:ind w:right="117"/>
        <w:rPr>
          <w:rFonts w:ascii="Calibri" w:eastAsia="Calibri" w:hAnsi="Calibri" w:cs="Calibri"/>
          <w:sz w:val="18"/>
        </w:rPr>
      </w:pPr>
      <w:r>
        <w:rPr>
          <w:rFonts w:ascii="Calibri" w:eastAsia="Calibri" w:hAnsi="Calibri" w:cs="Calibri"/>
          <w:sz w:val="18"/>
        </w:rPr>
        <w:t xml:space="preserve">5. </w:t>
      </w:r>
      <w:r w:rsidRPr="00DC2145">
        <w:rPr>
          <w:rFonts w:ascii="Calibri" w:eastAsia="Calibri" w:hAnsi="Calibri" w:cs="Calibri"/>
          <w:sz w:val="18"/>
        </w:rPr>
        <w:t xml:space="preserve">Nair AG, Gandhi RA, Natarajan S. Effect of COVID-19 related lockdown on ophthalmic practice and patient care in India: Results of a survey. Indian J </w:t>
      </w:r>
      <w:proofErr w:type="spellStart"/>
      <w:r w:rsidRPr="00DC2145">
        <w:rPr>
          <w:rFonts w:ascii="Calibri" w:eastAsia="Calibri" w:hAnsi="Calibri" w:cs="Calibri"/>
          <w:sz w:val="18"/>
        </w:rPr>
        <w:t>Ophthalmol</w:t>
      </w:r>
      <w:proofErr w:type="spellEnd"/>
      <w:r w:rsidRPr="00DC2145">
        <w:rPr>
          <w:rFonts w:ascii="Calibri" w:eastAsia="Calibri" w:hAnsi="Calibri" w:cs="Calibri"/>
          <w:sz w:val="18"/>
        </w:rPr>
        <w:t xml:space="preserve"> </w:t>
      </w:r>
      <w:proofErr w:type="gramStart"/>
      <w:r w:rsidRPr="00DC2145">
        <w:rPr>
          <w:rFonts w:ascii="Calibri" w:eastAsia="Calibri" w:hAnsi="Calibri" w:cs="Calibri"/>
          <w:sz w:val="18"/>
        </w:rPr>
        <w:t>2020;68:725</w:t>
      </w:r>
      <w:proofErr w:type="gramEnd"/>
      <w:r w:rsidRPr="00DC2145">
        <w:rPr>
          <w:rFonts w:ascii="Calibri" w:eastAsia="Calibri" w:hAnsi="Calibri" w:cs="Calibri"/>
          <w:sz w:val="18"/>
        </w:rPr>
        <w:t>-30.</w:t>
      </w:r>
    </w:p>
    <w:p w14:paraId="15BE142E" w14:textId="4148B226" w:rsidR="00DC2145" w:rsidRPr="00DC2145" w:rsidRDefault="00DC2145" w:rsidP="00DC2145">
      <w:pPr>
        <w:tabs>
          <w:tab w:val="left" w:pos="384"/>
        </w:tabs>
        <w:ind w:right="117"/>
        <w:rPr>
          <w:rFonts w:ascii="Calibri" w:eastAsia="Calibri" w:hAnsi="Calibri" w:cs="Calibri"/>
          <w:sz w:val="18"/>
        </w:rPr>
      </w:pPr>
      <w:r>
        <w:rPr>
          <w:rFonts w:ascii="Calibri" w:eastAsia="Calibri" w:hAnsi="Calibri" w:cs="Calibri"/>
          <w:sz w:val="18"/>
        </w:rPr>
        <w:t>6</w:t>
      </w:r>
      <w:r w:rsidRPr="00DC2145">
        <w:rPr>
          <w:rFonts w:ascii="Calibri" w:eastAsia="Calibri" w:hAnsi="Calibri" w:cs="Calibri"/>
          <w:sz w:val="18"/>
        </w:rPr>
        <w:t xml:space="preserve">. </w:t>
      </w:r>
      <w:proofErr w:type="spellStart"/>
      <w:r w:rsidRPr="00DC2145">
        <w:rPr>
          <w:rFonts w:ascii="Calibri" w:eastAsia="Calibri" w:hAnsi="Calibri" w:cs="Calibri"/>
          <w:sz w:val="18"/>
        </w:rPr>
        <w:t>Vazirani</w:t>
      </w:r>
      <w:proofErr w:type="spellEnd"/>
      <w:r w:rsidRPr="00DC2145">
        <w:rPr>
          <w:rFonts w:ascii="Calibri" w:eastAsia="Calibri" w:hAnsi="Calibri" w:cs="Calibri"/>
          <w:sz w:val="18"/>
        </w:rPr>
        <w:t xml:space="preserve"> J. Commentary: Teleophthalmology: Opportunities and challenges. Indian J </w:t>
      </w:r>
      <w:proofErr w:type="spellStart"/>
      <w:r w:rsidRPr="00DC2145">
        <w:rPr>
          <w:rFonts w:ascii="Calibri" w:eastAsia="Calibri" w:hAnsi="Calibri" w:cs="Calibri"/>
          <w:sz w:val="18"/>
        </w:rPr>
        <w:t>Ophthalmol</w:t>
      </w:r>
      <w:proofErr w:type="spellEnd"/>
      <w:r w:rsidRPr="00DC2145">
        <w:rPr>
          <w:rFonts w:ascii="Calibri" w:eastAsia="Calibri" w:hAnsi="Calibri" w:cs="Calibri"/>
          <w:sz w:val="18"/>
        </w:rPr>
        <w:t xml:space="preserve"> </w:t>
      </w:r>
      <w:proofErr w:type="gramStart"/>
      <w:r w:rsidRPr="00DC2145">
        <w:rPr>
          <w:rFonts w:ascii="Calibri" w:eastAsia="Calibri" w:hAnsi="Calibri" w:cs="Calibri"/>
          <w:sz w:val="18"/>
        </w:rPr>
        <w:t>2020;68:1379</w:t>
      </w:r>
      <w:proofErr w:type="gramEnd"/>
      <w:r w:rsidRPr="00DC2145">
        <w:rPr>
          <w:rFonts w:ascii="Calibri" w:eastAsia="Calibri" w:hAnsi="Calibri" w:cs="Calibri"/>
          <w:sz w:val="18"/>
        </w:rPr>
        <w:t>-80.</w:t>
      </w:r>
    </w:p>
    <w:p w14:paraId="443705E5"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DE9EBED" w14:textId="77777777" w:rsidR="00AE3E37" w:rsidRDefault="00AE3E37">
      <w:pPr>
        <w:pStyle w:val="BodyText"/>
        <w:rPr>
          <w:rFonts w:ascii="Calibri"/>
          <w:sz w:val="20"/>
        </w:rPr>
      </w:pPr>
    </w:p>
    <w:p w14:paraId="620C9AC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4A5DEAA" wp14:editId="7A5C096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3105E0"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189A4FD6" w14:textId="3A2AB6A8"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7E1B8F8" wp14:editId="6981C20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A4DF5F7"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E1B8F8"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" strokecolor="#9bbb59" strokeweight="2.5pt">
                <v:shadow color="#868686"/>
                <v:textbox>
                  <w:txbxContent>
                    <w:p w14:paraId="3A4DF5F7"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D105AE">
        <w:rPr>
          <w:rFonts w:ascii="Arial"/>
          <w:noProof/>
          <w:color w:val="BF5A14"/>
        </w:rPr>
        <w:drawing>
          <wp:inline distT="0" distB="0" distL="0" distR="0" wp14:anchorId="13AE22ED" wp14:editId="2C996C07">
            <wp:extent cx="517092" cy="775664"/>
            <wp:effectExtent l="0" t="0" r="3810" b="0"/>
            <wp:docPr id="3" name="Picture 3" descr="A picture containing person, indoor,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erson, indoor, posing&#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7092" cy="775664"/>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Pr="00A52075">
        <w:rPr>
          <w:rFonts w:ascii="Times New Roman" w:hAnsi="Times New Roman" w:cs="Times New Roman"/>
          <w:sz w:val="24"/>
          <w:szCs w:val="24"/>
        </w:rPr>
        <w:t xml:space="preserve"> </w:t>
      </w:r>
    </w:p>
    <w:p w14:paraId="36744939" w14:textId="3098558B" w:rsidR="00D105AE" w:rsidRPr="00D105AE" w:rsidRDefault="00DC2145" w:rsidP="00D105AE">
      <w:pPr>
        <w:spacing w:before="41" w:line="154" w:lineRule="exact"/>
        <w:ind w:left="213" w:right="231"/>
        <w:jc w:val="both"/>
        <w:rPr>
          <w:rFonts w:ascii="Arial"/>
          <w:sz w:val="14"/>
        </w:rPr>
      </w:pPr>
      <w:r>
        <w:rPr>
          <w:rFonts w:ascii="Arial"/>
          <w:sz w:val="14"/>
        </w:rPr>
        <w:t>Parul Ichhpujani</w:t>
      </w:r>
      <w:r w:rsidR="00A9710C">
        <w:rPr>
          <w:rFonts w:ascii="Arial"/>
          <w:sz w:val="14"/>
        </w:rPr>
        <w:t xml:space="preserve"> has her expertise in evaluation and passion in </w:t>
      </w:r>
      <w:r>
        <w:rPr>
          <w:rFonts w:ascii="Arial"/>
          <w:sz w:val="14"/>
        </w:rPr>
        <w:t xml:space="preserve">the field of glaucoma and </w:t>
      </w:r>
      <w:proofErr w:type="spellStart"/>
      <w:r>
        <w:rPr>
          <w:rFonts w:ascii="Arial"/>
          <w:sz w:val="14"/>
        </w:rPr>
        <w:t>neurophthalmology</w:t>
      </w:r>
      <w:proofErr w:type="spellEnd"/>
      <w:r w:rsidR="00A9710C">
        <w:rPr>
          <w:rFonts w:ascii="Arial"/>
          <w:sz w:val="14"/>
        </w:rPr>
        <w:t xml:space="preserve">. </w:t>
      </w:r>
      <w:r w:rsidR="00D105AE" w:rsidRPr="00D105AE">
        <w:rPr>
          <w:rFonts w:ascii="Arial"/>
          <w:sz w:val="14"/>
        </w:rPr>
        <w:t>She is the Member of Associate Advisory Board and Education Committee of World Glaucoma Association</w:t>
      </w:r>
      <w:r w:rsidR="00D105AE">
        <w:rPr>
          <w:rFonts w:ascii="Arial"/>
          <w:sz w:val="14"/>
        </w:rPr>
        <w:t>.</w:t>
      </w:r>
      <w:r w:rsidR="00D105AE" w:rsidRPr="00D105AE">
        <w:t xml:space="preserve"> </w:t>
      </w:r>
      <w:r w:rsidR="00D105AE" w:rsidRPr="00D105AE">
        <w:rPr>
          <w:rFonts w:ascii="Arial"/>
          <w:sz w:val="14"/>
        </w:rPr>
        <w:t xml:space="preserve">She was enlisted in the </w:t>
      </w:r>
      <w:proofErr w:type="spellStart"/>
      <w:r w:rsidR="00D105AE" w:rsidRPr="00D105AE">
        <w:rPr>
          <w:rFonts w:ascii="Arial"/>
          <w:sz w:val="14"/>
        </w:rPr>
        <w:t>Powerlist</w:t>
      </w:r>
      <w:proofErr w:type="spellEnd"/>
      <w:r w:rsidR="00D105AE" w:rsidRPr="00D105AE">
        <w:rPr>
          <w:rFonts w:ascii="Arial"/>
          <w:sz w:val="14"/>
        </w:rPr>
        <w:t xml:space="preserve"> 2015 of </w:t>
      </w:r>
      <w:r w:rsidR="00D105AE" w:rsidRPr="00D105AE">
        <w:rPr>
          <w:rFonts w:ascii="Arial"/>
          <w:sz w:val="14"/>
        </w:rPr>
        <w:t>“</w:t>
      </w:r>
      <w:r w:rsidR="00D105AE" w:rsidRPr="00D105AE">
        <w:rPr>
          <w:rFonts w:ascii="Arial"/>
          <w:sz w:val="14"/>
        </w:rPr>
        <w:t>Best 40 ophthalmologists under 40</w:t>
      </w:r>
      <w:r w:rsidR="00D105AE" w:rsidRPr="00D105AE">
        <w:rPr>
          <w:rFonts w:ascii="Arial"/>
          <w:sz w:val="14"/>
        </w:rPr>
        <w:t>”</w:t>
      </w:r>
      <w:r w:rsidR="00D105AE" w:rsidRPr="00D105AE">
        <w:rPr>
          <w:rFonts w:ascii="Arial"/>
          <w:sz w:val="14"/>
        </w:rPr>
        <w:t>.</w:t>
      </w:r>
    </w:p>
    <w:p w14:paraId="72F5772B" w14:textId="2629E73A" w:rsidR="00AE3E37" w:rsidRDefault="00D105AE" w:rsidP="00D105AE">
      <w:pPr>
        <w:spacing w:before="41" w:line="154" w:lineRule="exact"/>
        <w:ind w:left="213" w:right="231"/>
        <w:jc w:val="both"/>
        <w:rPr>
          <w:rFonts w:ascii="Arial"/>
          <w:sz w:val="14"/>
        </w:rPr>
      </w:pPr>
      <w:r w:rsidRPr="00D105AE">
        <w:rPr>
          <w:rFonts w:ascii="Arial"/>
          <w:sz w:val="14"/>
        </w:rPr>
        <w:t>She is an avid researcher and an academician having Co-authored and edited several books.</w:t>
      </w:r>
    </w:p>
    <w:p w14:paraId="4DE98FD3" w14:textId="0D40B5DB" w:rsidR="00AE3E37" w:rsidRDefault="00A9710C">
      <w:pPr>
        <w:spacing w:before="62"/>
        <w:ind w:left="4217" w:right="4235"/>
        <w:jc w:val="center"/>
        <w:rPr>
          <w:rFonts w:ascii="Arial"/>
          <w:sz w:val="14"/>
        </w:rPr>
      </w:pPr>
      <w:r>
        <w:rPr>
          <w:rFonts w:ascii="Arial"/>
          <w:sz w:val="14"/>
        </w:rPr>
        <w:t xml:space="preserve">Email: </w:t>
      </w:r>
      <w:hyperlink r:id="rId9" w:history="1">
        <w:r w:rsidR="00D105AE" w:rsidRPr="00996386">
          <w:rPr>
            <w:rStyle w:val="Hyperlink"/>
            <w:rFonts w:ascii="Arial"/>
            <w:sz w:val="14"/>
          </w:rPr>
          <w:t>parul77@rediffmail.com</w:t>
        </w:r>
      </w:hyperlink>
    </w:p>
    <w:p w14:paraId="143F7E60"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E61D91C" wp14:editId="6AD2F02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948F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62DFF1DA" w14:textId="77777777" w:rsidR="00AE3E37" w:rsidRDefault="00AE3E37">
      <w:pPr>
        <w:pStyle w:val="BodyText"/>
        <w:rPr>
          <w:rFonts w:ascii="Arial"/>
          <w:sz w:val="20"/>
        </w:rPr>
      </w:pPr>
    </w:p>
    <w:p w14:paraId="444E3540" w14:textId="77777777" w:rsidR="00AE3E37" w:rsidRDefault="00AE3E37">
      <w:pPr>
        <w:pStyle w:val="BodyText"/>
        <w:rPr>
          <w:rFonts w:ascii="Arial"/>
          <w:sz w:val="20"/>
        </w:rPr>
      </w:pPr>
    </w:p>
    <w:p w14:paraId="075DB829" w14:textId="77777777" w:rsidR="00AE3E37" w:rsidRDefault="00AE3E37">
      <w:pPr>
        <w:pStyle w:val="BodyText"/>
        <w:spacing w:before="7"/>
        <w:rPr>
          <w:rFonts w:ascii="Arial"/>
          <w:sz w:val="29"/>
        </w:rPr>
      </w:pPr>
    </w:p>
    <w:p w14:paraId="316EC38E" w14:textId="77777777" w:rsidR="00AE3E37" w:rsidRDefault="00A9710C" w:rsidP="000534A1">
      <w:pPr>
        <w:spacing w:before="39"/>
        <w:ind w:left="100"/>
        <w:rPr>
          <w:rFonts w:ascii="Minion Pro"/>
          <w:b/>
          <w:sz w:val="20"/>
        </w:rPr>
      </w:pPr>
      <w:r w:rsidRPr="00B21A57">
        <w:rPr>
          <w:rFonts w:ascii="Minion Pro"/>
          <w:b/>
          <w:sz w:val="20"/>
        </w:rPr>
        <w:t>Notes/Comments:</w:t>
      </w:r>
    </w:p>
    <w:p w14:paraId="0150DD15" w14:textId="77777777" w:rsidR="00EA7D51" w:rsidRDefault="00EA7D51" w:rsidP="000534A1">
      <w:pPr>
        <w:spacing w:before="39"/>
        <w:ind w:left="100"/>
        <w:rPr>
          <w:rFonts w:ascii="Minion Pro"/>
          <w:b/>
          <w:sz w:val="20"/>
        </w:rPr>
      </w:pPr>
    </w:p>
    <w:p w14:paraId="163E0E7A" w14:textId="77777777" w:rsidR="00EA7D51" w:rsidRDefault="00EA7D51" w:rsidP="000534A1">
      <w:pPr>
        <w:spacing w:before="39"/>
        <w:ind w:left="100"/>
        <w:rPr>
          <w:rFonts w:ascii="Minion Pro"/>
          <w:b/>
          <w:sz w:val="20"/>
        </w:rPr>
      </w:pPr>
    </w:p>
    <w:p w14:paraId="65BE195D" w14:textId="6AD73FB7"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105AE">
        <w:rPr>
          <w:sz w:val="20"/>
          <w:szCs w:val="20"/>
          <w:lang w:val="en-NZ"/>
        </w:rPr>
        <w:t xml:space="preserve">Dr Parul </w:t>
      </w:r>
      <w:proofErr w:type="spellStart"/>
      <w:r w:rsidR="00D105AE">
        <w:rPr>
          <w:sz w:val="20"/>
          <w:szCs w:val="20"/>
          <w:lang w:val="en-NZ"/>
        </w:rPr>
        <w:t>Ichhpujaani</w:t>
      </w:r>
      <w:proofErr w:type="spellEnd"/>
      <w:r w:rsidRPr="00F35A62">
        <w:rPr>
          <w:sz w:val="20"/>
          <w:szCs w:val="20"/>
          <w:lang w:val="en-NZ"/>
        </w:rPr>
        <w:br/>
        <w:t>Contact number:</w:t>
      </w:r>
      <w:r w:rsidR="00D105AE">
        <w:rPr>
          <w:sz w:val="20"/>
          <w:szCs w:val="20"/>
          <w:lang w:val="en-NZ"/>
        </w:rPr>
        <w:t xml:space="preserve"> +91-9501071591</w:t>
      </w:r>
      <w:r w:rsidRPr="00F35A62">
        <w:rPr>
          <w:sz w:val="20"/>
          <w:szCs w:val="20"/>
          <w:lang w:val="en-NZ"/>
        </w:rPr>
        <w:br/>
        <w:t>Twitter account:</w:t>
      </w:r>
      <w:r w:rsidRPr="00F35A62">
        <w:rPr>
          <w:sz w:val="20"/>
          <w:szCs w:val="20"/>
          <w:lang w:val="en-NZ"/>
        </w:rPr>
        <w:br/>
        <w:t>Linked In account:</w:t>
      </w:r>
    </w:p>
    <w:p w14:paraId="48DFEF38" w14:textId="7847208B"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00D105AE">
        <w:rPr>
          <w:sz w:val="20"/>
          <w:szCs w:val="20"/>
          <w:lang w:val="en-NZ"/>
        </w:rPr>
        <w:t xml:space="preserve"> </w:t>
      </w:r>
      <w:r w:rsidR="00D105AE" w:rsidRPr="00F35A62">
        <w:rPr>
          <w:sz w:val="20"/>
          <w:szCs w:val="20"/>
          <w:lang w:val="en-NZ"/>
        </w:rPr>
        <w:t>Oral presentation</w:t>
      </w:r>
      <w:r w:rsidRPr="00F35A62">
        <w:rPr>
          <w:sz w:val="20"/>
          <w:szCs w:val="20"/>
          <w:lang w:val="en-NZ"/>
        </w:rPr>
        <w:br/>
      </w:r>
    </w:p>
    <w:p w14:paraId="51E92530" w14:textId="77777777" w:rsidR="00EA7D51" w:rsidRPr="000534A1" w:rsidRDefault="00EA7D51" w:rsidP="00D105AE">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14:paraId="78448737"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2E824" w14:textId="77777777" w:rsidR="00D84705" w:rsidRDefault="00D84705">
      <w:r>
        <w:separator/>
      </w:r>
    </w:p>
  </w:endnote>
  <w:endnote w:type="continuationSeparator" w:id="0">
    <w:p w14:paraId="3F4C4F3E" w14:textId="77777777" w:rsidR="00D84705" w:rsidRDefault="00D84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6BD1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7D19464" wp14:editId="6E36BC7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C20E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A5F56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D19464"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349C20E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A5F56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4E9BA10" wp14:editId="5593C98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2D41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FE2ED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9BA10"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0B32D41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FE2ED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1A8534F" wp14:editId="5190C7C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BF86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C4ED7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8534F"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008BF86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C4ED7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F6751" w14:textId="77777777" w:rsidR="00D84705" w:rsidRDefault="00D84705">
      <w:r>
        <w:separator/>
      </w:r>
    </w:p>
  </w:footnote>
  <w:footnote w:type="continuationSeparator" w:id="0">
    <w:p w14:paraId="1B639CBE" w14:textId="77777777" w:rsidR="00D84705" w:rsidRDefault="00D84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157958730">
    <w:abstractNumId w:val="0"/>
  </w:num>
  <w:num w:numId="2" w16cid:durableId="1795296300">
    <w:abstractNumId w:val="1"/>
  </w:num>
  <w:num w:numId="3" w16cid:durableId="67268616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45E76"/>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574"/>
    <w:rsid w:val="00A07E82"/>
    <w:rsid w:val="00A52075"/>
    <w:rsid w:val="00A9710C"/>
    <w:rsid w:val="00AE3E37"/>
    <w:rsid w:val="00B21A57"/>
    <w:rsid w:val="00BE6743"/>
    <w:rsid w:val="00C33602"/>
    <w:rsid w:val="00C56C74"/>
    <w:rsid w:val="00CD6F55"/>
    <w:rsid w:val="00D105AE"/>
    <w:rsid w:val="00D84705"/>
    <w:rsid w:val="00DC214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D88C4"/>
  <w15:docId w15:val="{6233FFD0-C5D4-4D4A-BFC8-DE0AB6A8D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145E76"/>
    <w:rPr>
      <w:b/>
      <w:bCs/>
    </w:rPr>
  </w:style>
  <w:style w:type="character" w:styleId="UnresolvedMention">
    <w:name w:val="Unresolved Mention"/>
    <w:basedOn w:val="DefaultParagraphFont"/>
    <w:uiPriority w:val="99"/>
    <w:semiHidden/>
    <w:unhideWhenUsed/>
    <w:rsid w:val="00D105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327230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arul77@rediff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Parul Ichhpujani</cp:lastModifiedBy>
  <cp:revision>2</cp:revision>
  <dcterms:created xsi:type="dcterms:W3CDTF">2022-06-08T06:52:00Z</dcterms:created>
  <dcterms:modified xsi:type="dcterms:W3CDTF">2022-06-08T06:52:00Z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