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CB39D" w14:textId="452C748D" w:rsidR="00AE3E37" w:rsidRPr="00D64893" w:rsidRDefault="00D64893" w:rsidP="00D64893">
      <w:pPr>
        <w:pStyle w:val="1"/>
        <w:spacing w:before="170"/>
        <w:jc w:val="both"/>
        <w:rPr>
          <w:color w:val="337AB7"/>
        </w:rPr>
      </w:pPr>
      <w:r w:rsidRPr="00D64893">
        <w:rPr>
          <w:rFonts w:hint="eastAsia"/>
          <w:color w:val="337AB7"/>
        </w:rPr>
        <w:t>Microbiological diagnosis of endophthalmitis using nanopore targeted sequencing</w:t>
      </w:r>
    </w:p>
    <w:p w14:paraId="7460AAAD" w14:textId="77777777" w:rsidR="00B03F97" w:rsidRDefault="00D64893" w:rsidP="00B03F97">
      <w:pPr>
        <w:pStyle w:val="a3"/>
        <w:spacing w:before="73" w:line="198" w:lineRule="exact"/>
        <w:ind w:left="100" w:right="5987"/>
        <w:rPr>
          <w:rFonts w:ascii="Arial"/>
        </w:rPr>
      </w:pPr>
      <w:r>
        <w:rPr>
          <w:rFonts w:ascii="Arial"/>
        </w:rPr>
        <w:t xml:space="preserve">Yang Cheng, PhD, </w:t>
      </w:r>
    </w:p>
    <w:p w14:paraId="0672C698" w14:textId="60CB5AA1" w:rsidR="00B03F97" w:rsidRPr="00B03F97" w:rsidRDefault="00B03F97" w:rsidP="00B03F97">
      <w:pPr>
        <w:pStyle w:val="a3"/>
        <w:spacing w:before="73" w:line="198" w:lineRule="exact"/>
        <w:ind w:left="100" w:right="5987"/>
        <w:rPr>
          <w:rFonts w:ascii="Arial"/>
        </w:rPr>
      </w:pPr>
      <w:r w:rsidRPr="00B03F97">
        <w:rPr>
          <w:rFonts w:ascii="Arial"/>
        </w:rPr>
        <w:t>Department of Ophthalmology, Union</w:t>
      </w:r>
    </w:p>
    <w:p w14:paraId="7C3979A0" w14:textId="77777777" w:rsidR="00B03F97" w:rsidRPr="00B03F97" w:rsidRDefault="00B03F97" w:rsidP="00B03F97">
      <w:pPr>
        <w:pStyle w:val="a3"/>
        <w:spacing w:before="73" w:line="198" w:lineRule="exact"/>
        <w:ind w:left="100" w:right="5987"/>
        <w:rPr>
          <w:rFonts w:ascii="Arial"/>
        </w:rPr>
      </w:pPr>
      <w:r w:rsidRPr="00B03F97">
        <w:rPr>
          <w:rFonts w:ascii="Arial"/>
        </w:rPr>
        <w:t>Hospital, Tongji Medical College,</w:t>
      </w:r>
    </w:p>
    <w:p w14:paraId="43FBE91C" w14:textId="77777777" w:rsidR="00B03F97" w:rsidRPr="00B03F97" w:rsidRDefault="00B03F97" w:rsidP="00B03F97">
      <w:pPr>
        <w:pStyle w:val="a3"/>
        <w:spacing w:before="73" w:line="198" w:lineRule="exact"/>
        <w:ind w:left="100" w:right="5987"/>
        <w:rPr>
          <w:rFonts w:ascii="Arial"/>
        </w:rPr>
      </w:pPr>
      <w:r w:rsidRPr="00B03F97">
        <w:rPr>
          <w:rFonts w:ascii="Arial"/>
        </w:rPr>
        <w:t>Huazhong University of Science and</w:t>
      </w:r>
    </w:p>
    <w:p w14:paraId="1EF2B76E" w14:textId="574A8489" w:rsidR="0036007A" w:rsidRPr="0036007A" w:rsidRDefault="00B03F97" w:rsidP="00B03F97">
      <w:pPr>
        <w:pStyle w:val="a3"/>
        <w:spacing w:before="73" w:line="198" w:lineRule="exact"/>
        <w:ind w:left="100" w:right="5987"/>
        <w:rPr>
          <w:rFonts w:ascii="Arial" w:eastAsiaTheme="minorEastAsia"/>
          <w:lang w:eastAsia="zh-CN"/>
        </w:rPr>
      </w:pPr>
      <w:r w:rsidRPr="00B03F97">
        <w:rPr>
          <w:rFonts w:ascii="Arial"/>
        </w:rPr>
        <w:t xml:space="preserve">Technology, Wuhan, </w:t>
      </w:r>
      <w:r w:rsidR="0036007A">
        <w:rPr>
          <w:rFonts w:ascii="Arial" w:eastAsiaTheme="minorEastAsia"/>
          <w:lang w:eastAsia="zh-CN"/>
        </w:rPr>
        <w:t>China</w:t>
      </w:r>
    </w:p>
    <w:p w14:paraId="044406F4" w14:textId="77777777" w:rsidR="00AE3E37" w:rsidRDefault="00AE3E37">
      <w:pPr>
        <w:pStyle w:val="a3"/>
        <w:rPr>
          <w:rFonts w:ascii="Arial"/>
          <w:sz w:val="20"/>
        </w:rPr>
      </w:pPr>
    </w:p>
    <w:p w14:paraId="40CB7BDB"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595B69C2" w14:textId="5A615A22" w:rsidR="00AE3E37" w:rsidRDefault="00A9710C">
      <w:pPr>
        <w:pStyle w:val="3"/>
        <w:spacing w:before="147"/>
        <w:jc w:val="both"/>
      </w:pPr>
      <w:r>
        <w:rPr>
          <w:color w:val="BF5A14"/>
        </w:rPr>
        <w:t>Abstract</w:t>
      </w:r>
    </w:p>
    <w:p w14:paraId="22F51238" w14:textId="55358067" w:rsidR="00AE3E37" w:rsidRDefault="00C916E4">
      <w:pPr>
        <w:pStyle w:val="a3"/>
        <w:spacing w:before="90" w:line="280" w:lineRule="auto"/>
        <w:ind w:left="100"/>
        <w:jc w:val="both"/>
      </w:pPr>
      <w:r w:rsidRPr="0071662F">
        <w:rPr>
          <w:b/>
          <w:bCs/>
        </w:rPr>
        <w:t>Background:</w:t>
      </w:r>
      <w:r>
        <w:t xml:space="preserve"> </w:t>
      </w:r>
      <w:r w:rsidR="00622BAB">
        <w:t xml:space="preserve">Microorganism identification is critical for the early diagnosis and management </w:t>
      </w:r>
      <w:r w:rsidR="002442DA">
        <w:t>o</w:t>
      </w:r>
      <w:r w:rsidR="00622BAB">
        <w:t>f infec</w:t>
      </w:r>
      <w:r w:rsidR="00C96077">
        <w:t xml:space="preserve">tious endophthalmitis, but traditional culture can yield false-negative results. Nanopore targeted sequencing (NTS) is a third-generation sequencing technique with multiple advantages. This study aimed to test aqueous </w:t>
      </w:r>
      <w:proofErr w:type="spellStart"/>
      <w:r w:rsidR="00C96077">
        <w:t>humour</w:t>
      </w:r>
      <w:proofErr w:type="spellEnd"/>
      <w:r w:rsidR="00C96077">
        <w:t xml:space="preserve"> or vitreous fluid samples from presumed cases of infectious endophthalmitis using NTS to evaluate the </w:t>
      </w:r>
      <w:r w:rsidR="006F1F78">
        <w:t xml:space="preserve">feasibility of NTS in diagnosing </w:t>
      </w:r>
      <w:r w:rsidR="002442DA">
        <w:t>e</w:t>
      </w:r>
      <w:r w:rsidR="006F1F78">
        <w:t>ndophthalmitis, especially for culture-negative cases</w:t>
      </w:r>
      <w:r w:rsidR="00A9710C">
        <w:t xml:space="preserve">. </w:t>
      </w:r>
      <w:r w:rsidR="00A9710C" w:rsidRPr="002442DA">
        <w:rPr>
          <w:b/>
          <w:bCs/>
        </w:rPr>
        <w:t>Method</w:t>
      </w:r>
      <w:r w:rsidR="006F1F78" w:rsidRPr="002442DA">
        <w:rPr>
          <w:b/>
          <w:bCs/>
        </w:rPr>
        <w:t>s</w:t>
      </w:r>
      <w:r w:rsidR="008756E6" w:rsidRPr="002442DA">
        <w:rPr>
          <w:b/>
          <w:bCs/>
        </w:rPr>
        <w:t>:</w:t>
      </w:r>
      <w:r w:rsidR="008756E6">
        <w:t xml:space="preserve"> </w:t>
      </w:r>
      <w:r w:rsidR="006F1F78">
        <w:t xml:space="preserve">This prospective study enrolled patients who presented to the Department of Ophthalmology of Union Hospital (Wuhan, China) between June 2018 and December 2020. The samples were sent immediately for routine microbiology culture processing and NTS assay. </w:t>
      </w:r>
      <w:r w:rsidR="007460D1" w:rsidRPr="0071662F">
        <w:rPr>
          <w:b/>
          <w:bCs/>
        </w:rPr>
        <w:t>Results:</w:t>
      </w:r>
      <w:r w:rsidR="007460D1">
        <w:t xml:space="preserve"> NTS identified microorganisms in 17 of 18 cases (94.4%) (eight culture-positive cases, nine culture-negative cases, and one case unavailable for culture)</w:t>
      </w:r>
      <w:r w:rsidR="00A9710C">
        <w:t xml:space="preserve">. </w:t>
      </w:r>
      <w:r w:rsidR="007460D1">
        <w:t xml:space="preserve">There was a high-quality match between culture and NTS for culture-positive cases. In the </w:t>
      </w:r>
      <w:r w:rsidR="003E24E0">
        <w:t>nine</w:t>
      </w:r>
      <w:r w:rsidR="007460D1">
        <w:t xml:space="preserve"> culture-negative cases and the case unavailable for culture, NTS detected either bacteria, fungi, or a mixture of bacteria and fungi in the intrao</w:t>
      </w:r>
      <w:r w:rsidR="00D71990">
        <w:t xml:space="preserve">cular fluids. The average waiting times for the results of bacterial and fungal cultures were 48 and 72 h, respectively. The average time for the NTS results was 12 h. </w:t>
      </w:r>
      <w:r w:rsidR="00A9710C" w:rsidRPr="0071662F">
        <w:rPr>
          <w:b/>
          <w:bCs/>
        </w:rPr>
        <w:t>Conclusion</w:t>
      </w:r>
      <w:r w:rsidR="00D71990" w:rsidRPr="0071662F">
        <w:rPr>
          <w:b/>
          <w:bCs/>
        </w:rPr>
        <w:t>s</w:t>
      </w:r>
      <w:r w:rsidR="00A9710C" w:rsidRPr="0071662F">
        <w:rPr>
          <w:b/>
          <w:bCs/>
        </w:rPr>
        <w:t>:</w:t>
      </w:r>
      <w:r w:rsidR="00A9710C">
        <w:t xml:space="preserve"> </w:t>
      </w:r>
      <w:r w:rsidR="00075DDC">
        <w:t>NTS appears to be a promising diagnostic platform for diagnosing infectious endophthalmitis, even for culture-negative cases</w:t>
      </w:r>
      <w:r w:rsidR="00A9710C">
        <w:t>.</w:t>
      </w:r>
      <w:r w:rsidR="00CC1C2C">
        <w:t xml:space="preserve"> </w:t>
      </w:r>
      <w:r w:rsidR="00CC1C2C" w:rsidRPr="00CC1C2C">
        <w:rPr>
          <w:b/>
          <w:bCs/>
        </w:rPr>
        <w:t>Keywords:</w:t>
      </w:r>
      <w:r w:rsidR="00CC1C2C">
        <w:t xml:space="preserve"> culture, endophthalmitis, false-negative, nanopore targeted sequencing</w:t>
      </w:r>
    </w:p>
    <w:p w14:paraId="33D49C9E" w14:textId="6EFCE3FF" w:rsidR="005973B9" w:rsidRDefault="00A9710C" w:rsidP="00B9765D">
      <w:pPr>
        <w:pStyle w:val="3"/>
        <w:spacing w:before="147"/>
        <w:ind w:left="102"/>
        <w:rPr>
          <w:b w:val="0"/>
        </w:rPr>
      </w:pPr>
      <w:r>
        <w:rPr>
          <w:b w:val="0"/>
        </w:rPr>
        <w:br w:type="column"/>
      </w:r>
      <w:r w:rsidR="005973B9">
        <w:rPr>
          <w:color w:val="BF5A14"/>
        </w:rPr>
        <w:t>Recent Publications</w:t>
      </w:r>
    </w:p>
    <w:p w14:paraId="7E892140" w14:textId="216B9AC4" w:rsidR="005973B9" w:rsidRDefault="00523097" w:rsidP="005973B9">
      <w:pPr>
        <w:pStyle w:val="a5"/>
        <w:numPr>
          <w:ilvl w:val="0"/>
          <w:numId w:val="3"/>
        </w:numPr>
        <w:tabs>
          <w:tab w:val="left" w:pos="384"/>
        </w:tabs>
        <w:spacing w:before="103" w:line="216" w:lineRule="exact"/>
        <w:ind w:right="138" w:hanging="283"/>
        <w:rPr>
          <w:sz w:val="18"/>
        </w:rPr>
      </w:pPr>
      <w:r w:rsidRPr="00523097">
        <w:rPr>
          <w:sz w:val="18"/>
        </w:rPr>
        <w:t xml:space="preserve">Huang </w:t>
      </w:r>
      <w:proofErr w:type="spellStart"/>
      <w:r w:rsidRPr="00523097">
        <w:rPr>
          <w:sz w:val="18"/>
        </w:rPr>
        <w:t>Qiong</w:t>
      </w:r>
      <w:proofErr w:type="spellEnd"/>
      <w:r w:rsidRPr="00523097">
        <w:rPr>
          <w:sz w:val="18"/>
        </w:rPr>
        <w:t>,</w:t>
      </w:r>
      <w:r>
        <w:rPr>
          <w:sz w:val="18"/>
        </w:rPr>
        <w:t xml:space="preserve"> </w:t>
      </w:r>
      <w:r w:rsidRPr="00523097">
        <w:rPr>
          <w:sz w:val="18"/>
        </w:rPr>
        <w:t xml:space="preserve">Fu </w:t>
      </w:r>
      <w:proofErr w:type="spellStart"/>
      <w:r w:rsidRPr="00523097">
        <w:rPr>
          <w:sz w:val="18"/>
        </w:rPr>
        <w:t>Aisi</w:t>
      </w:r>
      <w:proofErr w:type="spellEnd"/>
      <w:r w:rsidRPr="00523097">
        <w:rPr>
          <w:sz w:val="18"/>
        </w:rPr>
        <w:t>,</w:t>
      </w:r>
      <w:r>
        <w:rPr>
          <w:sz w:val="18"/>
        </w:rPr>
        <w:t xml:space="preserve"> </w:t>
      </w:r>
      <w:r w:rsidRPr="00523097">
        <w:rPr>
          <w:sz w:val="18"/>
        </w:rPr>
        <w:t xml:space="preserve">Wang </w:t>
      </w:r>
      <w:proofErr w:type="spellStart"/>
      <w:r w:rsidRPr="00523097">
        <w:rPr>
          <w:sz w:val="18"/>
        </w:rPr>
        <w:t>Yiyan</w:t>
      </w:r>
      <w:proofErr w:type="spellEnd"/>
      <w:r w:rsidRPr="00523097">
        <w:rPr>
          <w:sz w:val="18"/>
        </w:rPr>
        <w:t xml:space="preserve">, Zhang </w:t>
      </w:r>
      <w:proofErr w:type="spellStart"/>
      <w:r w:rsidRPr="00523097">
        <w:rPr>
          <w:sz w:val="18"/>
        </w:rPr>
        <w:t>Jie</w:t>
      </w:r>
      <w:proofErr w:type="spellEnd"/>
      <w:r w:rsidRPr="00523097">
        <w:rPr>
          <w:sz w:val="18"/>
        </w:rPr>
        <w:t xml:space="preserve">, Zhao </w:t>
      </w:r>
      <w:proofErr w:type="spellStart"/>
      <w:r w:rsidRPr="00523097">
        <w:rPr>
          <w:sz w:val="18"/>
        </w:rPr>
        <w:t>Wanxu</w:t>
      </w:r>
      <w:proofErr w:type="spellEnd"/>
      <w:r w:rsidRPr="00523097">
        <w:rPr>
          <w:sz w:val="18"/>
        </w:rPr>
        <w:t>, Cheng Yang</w:t>
      </w:r>
      <w:r>
        <w:rPr>
          <w:sz w:val="18"/>
        </w:rPr>
        <w:t xml:space="preserve"> (2021)</w:t>
      </w:r>
      <w:r w:rsidRPr="00523097">
        <w:rPr>
          <w:sz w:val="18"/>
        </w:rPr>
        <w:t xml:space="preserve"> Microbiological diagnosis of endophthalmitis using nanopore targeted sequencing.</w:t>
      </w:r>
      <w:r>
        <w:rPr>
          <w:sz w:val="18"/>
        </w:rPr>
        <w:t xml:space="preserve"> </w:t>
      </w:r>
      <w:r w:rsidRPr="00523097">
        <w:rPr>
          <w:sz w:val="18"/>
        </w:rPr>
        <w:t xml:space="preserve">Clinical </w:t>
      </w:r>
      <w:r>
        <w:rPr>
          <w:sz w:val="18"/>
        </w:rPr>
        <w:t>a</w:t>
      </w:r>
      <w:r w:rsidRPr="00523097">
        <w:rPr>
          <w:sz w:val="18"/>
        </w:rPr>
        <w:t>nd Experimental Ophthalmology</w:t>
      </w:r>
      <w:r>
        <w:rPr>
          <w:sz w:val="18"/>
        </w:rPr>
        <w:t xml:space="preserve"> </w:t>
      </w:r>
      <w:r w:rsidRPr="00523097">
        <w:rPr>
          <w:sz w:val="18"/>
        </w:rPr>
        <w:t>49:1060-1068.</w:t>
      </w:r>
    </w:p>
    <w:p w14:paraId="6DCD9BDE" w14:textId="24ABAC90" w:rsidR="005973B9" w:rsidRDefault="00564375" w:rsidP="005973B9">
      <w:pPr>
        <w:pStyle w:val="a5"/>
        <w:numPr>
          <w:ilvl w:val="0"/>
          <w:numId w:val="3"/>
        </w:numPr>
        <w:tabs>
          <w:tab w:val="left" w:pos="384"/>
        </w:tabs>
        <w:spacing w:line="216" w:lineRule="exact"/>
        <w:ind w:right="137" w:hanging="283"/>
        <w:rPr>
          <w:sz w:val="18"/>
        </w:rPr>
      </w:pPr>
      <w:r w:rsidRPr="00564375">
        <w:rPr>
          <w:sz w:val="18"/>
        </w:rPr>
        <w:t xml:space="preserve">Huang </w:t>
      </w:r>
      <w:proofErr w:type="spellStart"/>
      <w:r w:rsidRPr="00564375">
        <w:rPr>
          <w:sz w:val="18"/>
        </w:rPr>
        <w:t>Qiong</w:t>
      </w:r>
      <w:proofErr w:type="spellEnd"/>
      <w:r w:rsidRPr="00564375">
        <w:rPr>
          <w:sz w:val="18"/>
        </w:rPr>
        <w:t xml:space="preserve">, Zhao </w:t>
      </w:r>
      <w:proofErr w:type="spellStart"/>
      <w:r w:rsidRPr="00564375">
        <w:rPr>
          <w:sz w:val="18"/>
        </w:rPr>
        <w:t>Xinyue</w:t>
      </w:r>
      <w:proofErr w:type="spellEnd"/>
      <w:r w:rsidRPr="00564375">
        <w:rPr>
          <w:sz w:val="18"/>
        </w:rPr>
        <w:t xml:space="preserve">, Wang </w:t>
      </w:r>
      <w:proofErr w:type="spellStart"/>
      <w:r w:rsidRPr="00564375">
        <w:rPr>
          <w:sz w:val="18"/>
        </w:rPr>
        <w:t>Yiyan</w:t>
      </w:r>
      <w:proofErr w:type="spellEnd"/>
      <w:r w:rsidRPr="00564375">
        <w:rPr>
          <w:sz w:val="18"/>
        </w:rPr>
        <w:t xml:space="preserve">, Cheng Yang </w:t>
      </w:r>
      <w:r>
        <w:rPr>
          <w:sz w:val="18"/>
        </w:rPr>
        <w:t xml:space="preserve">(2021) </w:t>
      </w:r>
      <w:r w:rsidRPr="00564375">
        <w:rPr>
          <w:sz w:val="18"/>
        </w:rPr>
        <w:t>Aggressive surgical procedures on endogenous Aspergillus endophthalmitis after heart transplantation. Asian Journal of Surgery 44: 902-903.</w:t>
      </w:r>
    </w:p>
    <w:p w14:paraId="03E18B2A" w14:textId="1D29762C" w:rsidR="005973B9" w:rsidRDefault="007E5AC6" w:rsidP="005973B9">
      <w:pPr>
        <w:pStyle w:val="a5"/>
        <w:numPr>
          <w:ilvl w:val="0"/>
          <w:numId w:val="3"/>
        </w:numPr>
        <w:tabs>
          <w:tab w:val="left" w:pos="384"/>
        </w:tabs>
        <w:spacing w:line="216" w:lineRule="exact"/>
        <w:ind w:right="138" w:hanging="283"/>
        <w:rPr>
          <w:sz w:val="18"/>
        </w:rPr>
      </w:pPr>
      <w:r w:rsidRPr="007E5AC6">
        <w:rPr>
          <w:sz w:val="18"/>
        </w:rPr>
        <w:t xml:space="preserve">Yi-Yan Wang, </w:t>
      </w:r>
      <w:proofErr w:type="spellStart"/>
      <w:r w:rsidRPr="007E5AC6">
        <w:rPr>
          <w:sz w:val="18"/>
        </w:rPr>
        <w:t>Qiong</w:t>
      </w:r>
      <w:proofErr w:type="spellEnd"/>
      <w:r w:rsidRPr="007E5AC6">
        <w:rPr>
          <w:sz w:val="18"/>
        </w:rPr>
        <w:t xml:space="preserve"> Huang, Yang Cheng</w:t>
      </w:r>
      <w:r>
        <w:rPr>
          <w:sz w:val="18"/>
        </w:rPr>
        <w:t xml:space="preserve"> (2021) </w:t>
      </w:r>
      <w:r w:rsidRPr="007E5AC6">
        <w:rPr>
          <w:sz w:val="18"/>
        </w:rPr>
        <w:t>Detecting Streptococcus suis by nanopore sequencing in endophthalmitis: A case report. European Journal of Inflammation doi.10.1177/20587392211002657</w:t>
      </w:r>
    </w:p>
    <w:p w14:paraId="29778161" w14:textId="61EB8121" w:rsidR="005973B9" w:rsidRPr="00F81BD4" w:rsidRDefault="0050391B" w:rsidP="006A1C37">
      <w:pPr>
        <w:pStyle w:val="a5"/>
        <w:numPr>
          <w:ilvl w:val="0"/>
          <w:numId w:val="3"/>
        </w:numPr>
        <w:tabs>
          <w:tab w:val="left" w:pos="384"/>
        </w:tabs>
        <w:spacing w:before="92" w:line="218" w:lineRule="exact"/>
        <w:ind w:hanging="283"/>
      </w:pPr>
      <w:r w:rsidRPr="0050391B">
        <w:rPr>
          <w:sz w:val="18"/>
        </w:rPr>
        <w:t xml:space="preserve">Huang </w:t>
      </w:r>
      <w:proofErr w:type="spellStart"/>
      <w:r w:rsidRPr="0050391B">
        <w:rPr>
          <w:sz w:val="18"/>
        </w:rPr>
        <w:t>Qiong</w:t>
      </w:r>
      <w:proofErr w:type="spellEnd"/>
      <w:r w:rsidRPr="0050391B">
        <w:rPr>
          <w:sz w:val="18"/>
        </w:rPr>
        <w:t>,</w:t>
      </w:r>
      <w:r>
        <w:rPr>
          <w:sz w:val="18"/>
        </w:rPr>
        <w:t xml:space="preserve"> </w:t>
      </w:r>
      <w:r w:rsidRPr="0050391B">
        <w:rPr>
          <w:sz w:val="18"/>
        </w:rPr>
        <w:t>Cheng Yang</w:t>
      </w:r>
      <w:r>
        <w:rPr>
          <w:sz w:val="18"/>
        </w:rPr>
        <w:t xml:space="preserve"> (2021) </w:t>
      </w:r>
      <w:r w:rsidRPr="0050391B">
        <w:rPr>
          <w:sz w:val="18"/>
        </w:rPr>
        <w:t xml:space="preserve">The Effectiveness of the Supine Position in Managing Inferior Breaks in </w:t>
      </w:r>
      <w:proofErr w:type="spellStart"/>
      <w:r w:rsidRPr="0050391B">
        <w:rPr>
          <w:sz w:val="18"/>
        </w:rPr>
        <w:t>Rhegmatogenous</w:t>
      </w:r>
      <w:proofErr w:type="spellEnd"/>
      <w:r w:rsidRPr="0050391B">
        <w:rPr>
          <w:sz w:val="18"/>
        </w:rPr>
        <w:t xml:space="preserve"> Retinal Detachment After Vitrectomy with Gas Tamponade.</w:t>
      </w:r>
      <w:r>
        <w:rPr>
          <w:sz w:val="18"/>
        </w:rPr>
        <w:t xml:space="preserve"> </w:t>
      </w:r>
      <w:r w:rsidRPr="0050391B">
        <w:rPr>
          <w:sz w:val="18"/>
        </w:rPr>
        <w:t>International Journal of General Medicine 14: 1179-1184.</w:t>
      </w:r>
    </w:p>
    <w:p w14:paraId="68AB32D0" w14:textId="38712A53" w:rsidR="00AE3E37" w:rsidRPr="008756E6" w:rsidRDefault="00F81BD4" w:rsidP="00A81701">
      <w:pPr>
        <w:pStyle w:val="a5"/>
        <w:numPr>
          <w:ilvl w:val="0"/>
          <w:numId w:val="3"/>
        </w:numPr>
        <w:tabs>
          <w:tab w:val="left" w:pos="384"/>
        </w:tabs>
        <w:spacing w:before="92" w:line="218" w:lineRule="exact"/>
        <w:ind w:hanging="283"/>
      </w:pPr>
      <w:r w:rsidRPr="00F81BD4">
        <w:rPr>
          <w:sz w:val="18"/>
        </w:rPr>
        <w:t>Cai Wei,</w:t>
      </w:r>
      <w:r>
        <w:rPr>
          <w:sz w:val="18"/>
        </w:rPr>
        <w:t xml:space="preserve"> </w:t>
      </w:r>
      <w:r w:rsidRPr="00F81BD4">
        <w:rPr>
          <w:sz w:val="18"/>
        </w:rPr>
        <w:t>Cheng Yang,</w:t>
      </w:r>
      <w:r>
        <w:rPr>
          <w:sz w:val="18"/>
        </w:rPr>
        <w:t xml:space="preserve"> </w:t>
      </w:r>
      <w:proofErr w:type="spellStart"/>
      <w:r w:rsidRPr="00F81BD4">
        <w:rPr>
          <w:sz w:val="18"/>
        </w:rPr>
        <w:t>Ke</w:t>
      </w:r>
      <w:proofErr w:type="spellEnd"/>
      <w:r w:rsidRPr="00F81BD4">
        <w:rPr>
          <w:sz w:val="18"/>
        </w:rPr>
        <w:t xml:space="preserve"> Lina et al</w:t>
      </w:r>
      <w:r>
        <w:rPr>
          <w:sz w:val="18"/>
        </w:rPr>
        <w:t xml:space="preserve"> (2012)</w:t>
      </w:r>
      <w:r w:rsidRPr="00F81BD4">
        <w:rPr>
          <w:sz w:val="18"/>
        </w:rPr>
        <w:t xml:space="preserve"> Effects of </w:t>
      </w:r>
      <w:proofErr w:type="spellStart"/>
      <w:r w:rsidRPr="00F81BD4">
        <w:rPr>
          <w:sz w:val="18"/>
        </w:rPr>
        <w:t>avastin</w:t>
      </w:r>
      <w:proofErr w:type="spellEnd"/>
      <w:r w:rsidRPr="00F81BD4">
        <w:rPr>
          <w:sz w:val="18"/>
        </w:rPr>
        <w:t xml:space="preserve"> on expression of AQP4 in Müller cells under hypoxia.</w:t>
      </w:r>
      <w:r w:rsidRPr="00F81BD4">
        <w:t xml:space="preserve"> </w:t>
      </w:r>
      <w:r w:rsidRPr="00F81BD4">
        <w:rPr>
          <w:sz w:val="18"/>
        </w:rPr>
        <w:t>Journal of Huazhong University of Science and Technology</w:t>
      </w:r>
      <w:r>
        <w:rPr>
          <w:sz w:val="18"/>
        </w:rPr>
        <w:t xml:space="preserve"> </w:t>
      </w:r>
      <w:r w:rsidRPr="00F81BD4">
        <w:rPr>
          <w:sz w:val="18"/>
        </w:rPr>
        <w:t>(Medical Sciences) 32: 607-612.</w:t>
      </w:r>
    </w:p>
    <w:p w14:paraId="0AC947D5"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1246B371" w14:textId="77777777" w:rsidR="001971DC" w:rsidRDefault="001971DC">
      <w:pPr>
        <w:pStyle w:val="a3"/>
        <w:rPr>
          <w:rFonts w:ascii="Arial"/>
          <w:b/>
          <w:color w:val="BF5A14"/>
          <w:sz w:val="20"/>
        </w:rPr>
      </w:pPr>
    </w:p>
    <w:p w14:paraId="7E16A68C" w14:textId="23A43E75" w:rsidR="00347F37" w:rsidRDefault="00347F37" w:rsidP="00B9765D">
      <w:pPr>
        <w:pStyle w:val="a3"/>
        <w:spacing w:before="147"/>
        <w:ind w:left="102"/>
        <w:jc w:val="both"/>
        <w:rPr>
          <w:rFonts w:ascii="Calibri"/>
          <w:sz w:val="20"/>
        </w:rPr>
      </w:pPr>
      <w:r>
        <w:rPr>
          <w:rFonts w:ascii="Arial"/>
          <w:b/>
          <w:color w:val="BF5A14"/>
          <w:sz w:val="20"/>
        </w:rPr>
        <w:t>Image</w:t>
      </w:r>
    </w:p>
    <w:p w14:paraId="2BA6A6D4" w14:textId="4337B2F5" w:rsidR="00347F37" w:rsidRDefault="001971DC" w:rsidP="001971DC">
      <w:pPr>
        <w:pStyle w:val="a3"/>
        <w:jc w:val="center"/>
        <w:rPr>
          <w:rFonts w:ascii="Calibri"/>
          <w:sz w:val="20"/>
        </w:rPr>
      </w:pPr>
      <w:r>
        <w:rPr>
          <w:rFonts w:ascii="Calibri"/>
          <w:noProof/>
          <w:sz w:val="20"/>
        </w:rPr>
        <w:drawing>
          <wp:inline distT="0" distB="0" distL="0" distR="0" wp14:anchorId="4AD93A18" wp14:editId="5096E617">
            <wp:extent cx="6343650" cy="1779612"/>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9">
                      <a:extLst>
                        <a:ext uri="{28A0092B-C50C-407E-A947-70E740481C1C}">
                          <a14:useLocalDpi xmlns:a14="http://schemas.microsoft.com/office/drawing/2010/main"/>
                        </a:ext>
                      </a:extLst>
                    </a:blip>
                    <a:stretch>
                      <a:fillRect/>
                    </a:stretch>
                  </pic:blipFill>
                  <pic:spPr>
                    <a:xfrm>
                      <a:off x="0" y="0"/>
                      <a:ext cx="6348706" cy="1781030"/>
                    </a:xfrm>
                    <a:prstGeom prst="rect">
                      <a:avLst/>
                    </a:prstGeom>
                  </pic:spPr>
                </pic:pic>
              </a:graphicData>
            </a:graphic>
          </wp:inline>
        </w:drawing>
      </w:r>
    </w:p>
    <w:p w14:paraId="07CABCBF" w14:textId="6F99CF5B" w:rsidR="00347F37" w:rsidRDefault="00347F37">
      <w:pPr>
        <w:pStyle w:val="a3"/>
        <w:rPr>
          <w:rFonts w:ascii="Calibri"/>
          <w:sz w:val="20"/>
        </w:rPr>
      </w:pPr>
    </w:p>
    <w:p w14:paraId="045C31F2" w14:textId="77777777" w:rsidR="00B9765D" w:rsidRDefault="00B9765D">
      <w:pPr>
        <w:pStyle w:val="a3"/>
        <w:rPr>
          <w:rFonts w:ascii="Calibri"/>
          <w:sz w:val="20"/>
        </w:rPr>
        <w:sectPr w:rsidR="00B9765D" w:rsidSect="008E5477">
          <w:type w:val="continuous"/>
          <w:pgSz w:w="11910" w:h="16840"/>
          <w:pgMar w:top="995" w:right="600" w:bottom="840" w:left="620" w:header="720" w:footer="720" w:gutter="0"/>
          <w:cols w:space="720"/>
        </w:sectPr>
      </w:pPr>
    </w:p>
    <w:p w14:paraId="0E26DF96" w14:textId="77777777" w:rsidR="00B9765D" w:rsidRDefault="00B9765D">
      <w:pPr>
        <w:pStyle w:val="a3"/>
        <w:rPr>
          <w:rFonts w:ascii="Calibri"/>
          <w:sz w:val="20"/>
        </w:rPr>
      </w:pPr>
    </w:p>
    <w:p w14:paraId="244DA81A" w14:textId="77777777"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19ED9618" wp14:editId="4AA3E35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EAE83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236C2B7" w14:textId="052A80DC" w:rsidR="00AE3E37" w:rsidRDefault="008756E6" w:rsidP="00404E5B">
      <w:pPr>
        <w:spacing w:before="92"/>
        <w:ind w:right="4234"/>
        <w:rPr>
          <w:rFonts w:ascii="Arial"/>
        </w:rPr>
      </w:pPr>
      <w:r>
        <w:rPr>
          <w:noProof/>
        </w:rPr>
        <w:t xml:space="preserve">           </w:t>
      </w:r>
      <w:r>
        <w:rPr>
          <w:noProof/>
        </w:rPr>
        <w:drawing>
          <wp:inline distT="0" distB="0" distL="0" distR="0" wp14:anchorId="14B682B6" wp14:editId="18AE08DB">
            <wp:extent cx="795044" cy="1192566"/>
            <wp:effectExtent l="0" t="0" r="508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a:ext>
                      </a:extLst>
                    </a:blip>
                    <a:stretch>
                      <a:fillRect/>
                    </a:stretch>
                  </pic:blipFill>
                  <pic:spPr bwMode="auto">
                    <a:xfrm>
                      <a:off x="0" y="0"/>
                      <a:ext cx="795044" cy="1192566"/>
                    </a:xfrm>
                    <a:prstGeom prst="rect">
                      <a:avLst/>
                    </a:prstGeom>
                    <a:noFill/>
                    <a:ln>
                      <a:noFill/>
                    </a:ln>
                    <a:extLst>
                      <a:ext uri="{53640926-AAD7-44D8-BBD7-CCE9431645EC}">
                        <a14:shadowObscured xmlns:a14="http://schemas.microsoft.com/office/drawing/2010/main"/>
                      </a:ext>
                    </a:extLst>
                  </pic:spPr>
                </pic:pic>
              </a:graphicData>
            </a:graphic>
          </wp:inline>
        </w:drawing>
      </w:r>
      <w:r w:rsidR="00AD7551">
        <w:rPr>
          <w:noProof/>
        </w:rPr>
        <w:t xml:space="preserve"> </w:t>
      </w:r>
      <w:r w:rsidR="009552F8">
        <w:rPr>
          <w:rFonts w:ascii="Arial"/>
          <w:color w:val="BF5A14"/>
        </w:rPr>
        <w:t>Yang Cheng</w:t>
      </w:r>
    </w:p>
    <w:p w14:paraId="19D8B515" w14:textId="07511E81" w:rsidR="00AE3E37" w:rsidRDefault="00CF75F5">
      <w:pPr>
        <w:spacing w:before="41" w:line="154" w:lineRule="exact"/>
        <w:ind w:left="213" w:right="231"/>
        <w:jc w:val="both"/>
        <w:rPr>
          <w:rFonts w:ascii="Arial"/>
          <w:sz w:val="14"/>
        </w:rPr>
      </w:pPr>
      <w:r w:rsidRPr="00CF75F5">
        <w:rPr>
          <w:rFonts w:ascii="Arial"/>
          <w:sz w:val="14"/>
        </w:rPr>
        <w:t xml:space="preserve">Yang Cheng specializes in vitreoretinal microsurgery, phacoemulsification and intraocular lens implantation combined with vitreoretinal surgery, and has accumulated rich experience in the diagnosis and treatment of complex retinal detachment, eye trauma, intraocular foreign bodies, diabetic retinopathy and retinopathy of </w:t>
      </w:r>
      <w:proofErr w:type="spellStart"/>
      <w:r w:rsidRPr="00CF75F5">
        <w:rPr>
          <w:rFonts w:ascii="Arial"/>
          <w:sz w:val="14"/>
        </w:rPr>
        <w:t>prematurity.In</w:t>
      </w:r>
      <w:proofErr w:type="spellEnd"/>
      <w:r w:rsidRPr="00CF75F5">
        <w:rPr>
          <w:rFonts w:ascii="Arial"/>
          <w:sz w:val="14"/>
        </w:rPr>
        <w:t xml:space="preserve"> recent studies, a set of diagnosis and treatment procedures for patients with infectious endophthalmitis have been established by collecting intraocular </w:t>
      </w:r>
      <w:r w:rsidRPr="00CF75F5">
        <w:rPr>
          <w:rFonts w:ascii="Arial"/>
          <w:sz w:val="14"/>
        </w:rPr>
        <w:lastRenderedPageBreak/>
        <w:t>fluid samples for genetic testing, and the effectiveness of this method has been verified in the clinical process</w:t>
      </w:r>
      <w:r>
        <w:rPr>
          <w:rFonts w:ascii="Arial"/>
          <w:sz w:val="14"/>
        </w:rPr>
        <w:t>.</w:t>
      </w:r>
    </w:p>
    <w:p w14:paraId="29A7AEDD" w14:textId="3C533D57" w:rsidR="00AE3E37" w:rsidRDefault="00A9710C">
      <w:pPr>
        <w:spacing w:before="62"/>
        <w:ind w:left="4217" w:right="4235"/>
        <w:jc w:val="center"/>
        <w:rPr>
          <w:rFonts w:ascii="Arial"/>
          <w:sz w:val="14"/>
        </w:rPr>
      </w:pPr>
      <w:r>
        <w:rPr>
          <w:rFonts w:ascii="Arial"/>
          <w:sz w:val="14"/>
        </w:rPr>
        <w:t xml:space="preserve">Email: </w:t>
      </w:r>
      <w:r w:rsidR="009552F8">
        <w:rPr>
          <w:rStyle w:val="ac"/>
          <w:rFonts w:ascii="Arial"/>
          <w:sz w:val="14"/>
        </w:rPr>
        <w:t>40338795@qq.com</w:t>
      </w:r>
    </w:p>
    <w:p w14:paraId="20EC0BA9" w14:textId="77777777" w:rsidR="00AE3E37" w:rsidRDefault="00292ED9">
      <w:pPr>
        <w:pStyle w:val="a3"/>
        <w:spacing w:before="2"/>
        <w:rPr>
          <w:rFonts w:ascii="Arial"/>
          <w:sz w:val="19"/>
        </w:rPr>
      </w:pPr>
      <w:r>
        <w:rPr>
          <w:noProof/>
        </w:rPr>
        <mc:AlternateContent>
          <mc:Choice Requires="wps">
            <w:drawing>
              <wp:anchor distT="0" distB="0" distL="0" distR="0" simplePos="0" relativeHeight="251656192" behindDoc="0" locked="0" layoutInCell="1" allowOverlap="1" wp14:anchorId="65AEADDB" wp14:editId="79509B0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95A46A" id="Line 3" o:spid="_x0000_s1026" style="position:absolute;left:0;text-align:lef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A880ECA" w14:textId="77777777" w:rsidR="00AE3E37" w:rsidRDefault="00AE3E37">
      <w:pPr>
        <w:pStyle w:val="a3"/>
        <w:rPr>
          <w:rFonts w:ascii="Arial"/>
          <w:sz w:val="20"/>
        </w:rPr>
      </w:pPr>
    </w:p>
    <w:p w14:paraId="70AC1E4B" w14:textId="77777777" w:rsidR="00AE3E37" w:rsidRDefault="00AE3E37">
      <w:pPr>
        <w:pStyle w:val="a3"/>
        <w:rPr>
          <w:rFonts w:ascii="Arial"/>
          <w:sz w:val="20"/>
        </w:rPr>
      </w:pPr>
    </w:p>
    <w:p w14:paraId="161304F5" w14:textId="77777777" w:rsidR="00AE3E37" w:rsidRDefault="00AE3E37">
      <w:pPr>
        <w:pStyle w:val="a3"/>
        <w:spacing w:before="7"/>
        <w:rPr>
          <w:rFonts w:ascii="Arial"/>
          <w:sz w:val="29"/>
        </w:rPr>
      </w:pPr>
    </w:p>
    <w:p w14:paraId="72B1D915" w14:textId="77777777" w:rsidR="00AE3E37" w:rsidRDefault="00A9710C" w:rsidP="000534A1">
      <w:pPr>
        <w:spacing w:before="39"/>
        <w:ind w:left="100"/>
        <w:rPr>
          <w:rFonts w:ascii="Minion Pro"/>
          <w:b/>
          <w:sz w:val="20"/>
        </w:rPr>
      </w:pPr>
      <w:r w:rsidRPr="00B21A57">
        <w:rPr>
          <w:rFonts w:ascii="Minion Pro"/>
          <w:b/>
          <w:sz w:val="20"/>
        </w:rPr>
        <w:t>Notes/Comments:</w:t>
      </w:r>
    </w:p>
    <w:p w14:paraId="2BE1EFAB" w14:textId="77777777" w:rsidR="00EA7D51" w:rsidRDefault="00EA7D51" w:rsidP="000534A1">
      <w:pPr>
        <w:spacing w:before="39"/>
        <w:ind w:left="100"/>
        <w:rPr>
          <w:rFonts w:ascii="Minion Pro"/>
          <w:b/>
          <w:sz w:val="20"/>
        </w:rPr>
      </w:pPr>
    </w:p>
    <w:p w14:paraId="15B44279" w14:textId="77777777" w:rsidR="00EA7D51" w:rsidRDefault="00EA7D51" w:rsidP="000534A1">
      <w:pPr>
        <w:spacing w:before="39"/>
        <w:ind w:left="100"/>
        <w:rPr>
          <w:rFonts w:ascii="Minion Pro"/>
          <w:b/>
          <w:sz w:val="20"/>
        </w:rPr>
      </w:pPr>
    </w:p>
    <w:p w14:paraId="3F66DD25" w14:textId="0C9A6FD1"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9552F8">
        <w:rPr>
          <w:sz w:val="20"/>
          <w:szCs w:val="20"/>
          <w:lang w:val="en-NZ"/>
        </w:rPr>
        <w:t>Yang Cheng</w:t>
      </w:r>
      <w:r w:rsidRPr="00F35A62">
        <w:rPr>
          <w:sz w:val="20"/>
          <w:szCs w:val="20"/>
          <w:lang w:val="en-NZ"/>
        </w:rPr>
        <w:br/>
        <w:t>Contact number:</w:t>
      </w:r>
      <w:r w:rsidR="009552F8">
        <w:rPr>
          <w:sz w:val="20"/>
          <w:szCs w:val="20"/>
          <w:lang w:val="en-NZ"/>
        </w:rPr>
        <w:t xml:space="preserve"> </w:t>
      </w:r>
      <w:r w:rsidR="007570B0">
        <w:rPr>
          <w:sz w:val="20"/>
          <w:szCs w:val="20"/>
          <w:lang w:val="en-NZ"/>
        </w:rPr>
        <w:t>+86</w:t>
      </w:r>
      <w:r w:rsidR="009552F8">
        <w:rPr>
          <w:sz w:val="20"/>
          <w:szCs w:val="20"/>
          <w:lang w:val="en-NZ"/>
        </w:rPr>
        <w:t>13396063598</w:t>
      </w:r>
      <w:r w:rsidRPr="00F35A62">
        <w:rPr>
          <w:sz w:val="20"/>
          <w:szCs w:val="20"/>
          <w:lang w:val="en-NZ"/>
        </w:rPr>
        <w:br/>
        <w:t>Twitter account:</w:t>
      </w:r>
      <w:r w:rsidR="00A257D7">
        <w:rPr>
          <w:sz w:val="20"/>
          <w:szCs w:val="20"/>
          <w:lang w:val="en-NZ"/>
        </w:rPr>
        <w:t xml:space="preserve"> -</w:t>
      </w:r>
      <w:r w:rsidRPr="00F35A62">
        <w:rPr>
          <w:sz w:val="20"/>
          <w:szCs w:val="20"/>
          <w:lang w:val="en-NZ"/>
        </w:rPr>
        <w:br/>
        <w:t>Linked In account:</w:t>
      </w:r>
      <w:r w:rsidR="00A257D7">
        <w:rPr>
          <w:sz w:val="20"/>
          <w:szCs w:val="20"/>
          <w:lang w:val="en-NZ"/>
        </w:rPr>
        <w:t xml:space="preserve"> -</w:t>
      </w:r>
    </w:p>
    <w:p w14:paraId="683EAF54" w14:textId="77777777"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14:paraId="47D91004"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6D4855DF"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0164B" w14:textId="77777777" w:rsidR="007E4BC0" w:rsidRDefault="007E4BC0">
      <w:r>
        <w:separator/>
      </w:r>
    </w:p>
  </w:endnote>
  <w:endnote w:type="continuationSeparator" w:id="0">
    <w:p w14:paraId="4EF6626A" w14:textId="77777777" w:rsidR="007E4BC0" w:rsidRDefault="007E4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895E9"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774EAB60" wp14:editId="20117B6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AB321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7AE5CD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4EAB60"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09AB321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7AE5CD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9B83699" wp14:editId="0B13620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46F9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BA9EAB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8369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79346F9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BA9EAB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1A557BB" wp14:editId="3F234D9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494B2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D4424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A557BB"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61494B2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D4424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F4ED4" w14:textId="77777777" w:rsidR="007E4BC0" w:rsidRDefault="007E4BC0">
      <w:r>
        <w:separator/>
      </w:r>
    </w:p>
  </w:footnote>
  <w:footnote w:type="continuationSeparator" w:id="0">
    <w:p w14:paraId="06E037C6" w14:textId="77777777" w:rsidR="007E4BC0" w:rsidRDefault="007E4B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523351029">
    <w:abstractNumId w:val="0"/>
  </w:num>
  <w:num w:numId="2" w16cid:durableId="969556187">
    <w:abstractNumId w:val="1"/>
  </w:num>
  <w:num w:numId="3" w16cid:durableId="1685127560">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681B"/>
    <w:rsid w:val="0006797A"/>
    <w:rsid w:val="00075DDC"/>
    <w:rsid w:val="000B4CAA"/>
    <w:rsid w:val="000E2911"/>
    <w:rsid w:val="00113D3D"/>
    <w:rsid w:val="001263DF"/>
    <w:rsid w:val="00166A6D"/>
    <w:rsid w:val="00181FC2"/>
    <w:rsid w:val="001971DC"/>
    <w:rsid w:val="001E1BF5"/>
    <w:rsid w:val="001F21AF"/>
    <w:rsid w:val="002442DA"/>
    <w:rsid w:val="00292ED9"/>
    <w:rsid w:val="00320B03"/>
    <w:rsid w:val="00347F37"/>
    <w:rsid w:val="00351D9B"/>
    <w:rsid w:val="0036007A"/>
    <w:rsid w:val="00380299"/>
    <w:rsid w:val="003E24E0"/>
    <w:rsid w:val="00404E5B"/>
    <w:rsid w:val="00414F7B"/>
    <w:rsid w:val="004355DC"/>
    <w:rsid w:val="004749B4"/>
    <w:rsid w:val="00475D20"/>
    <w:rsid w:val="00494130"/>
    <w:rsid w:val="004F3523"/>
    <w:rsid w:val="0050391B"/>
    <w:rsid w:val="00523097"/>
    <w:rsid w:val="00564375"/>
    <w:rsid w:val="00590D60"/>
    <w:rsid w:val="005973B9"/>
    <w:rsid w:val="005A464E"/>
    <w:rsid w:val="005B3A56"/>
    <w:rsid w:val="006060CE"/>
    <w:rsid w:val="0061505C"/>
    <w:rsid w:val="00622BAB"/>
    <w:rsid w:val="0063497F"/>
    <w:rsid w:val="00660A85"/>
    <w:rsid w:val="006A1C37"/>
    <w:rsid w:val="006E3CD0"/>
    <w:rsid w:val="006F1F78"/>
    <w:rsid w:val="006F5A94"/>
    <w:rsid w:val="00714354"/>
    <w:rsid w:val="0071662F"/>
    <w:rsid w:val="007460D1"/>
    <w:rsid w:val="00753FFD"/>
    <w:rsid w:val="007570B0"/>
    <w:rsid w:val="00763963"/>
    <w:rsid w:val="007E4633"/>
    <w:rsid w:val="007E4BC0"/>
    <w:rsid w:val="007E5AC6"/>
    <w:rsid w:val="00873DF0"/>
    <w:rsid w:val="008751EB"/>
    <w:rsid w:val="008756E6"/>
    <w:rsid w:val="00897EC5"/>
    <w:rsid w:val="008A0763"/>
    <w:rsid w:val="008E3E43"/>
    <w:rsid w:val="008E5477"/>
    <w:rsid w:val="009552F8"/>
    <w:rsid w:val="009B2D44"/>
    <w:rsid w:val="00A07E82"/>
    <w:rsid w:val="00A257D7"/>
    <w:rsid w:val="00A52075"/>
    <w:rsid w:val="00A568D9"/>
    <w:rsid w:val="00A81701"/>
    <w:rsid w:val="00A857F6"/>
    <w:rsid w:val="00A9710C"/>
    <w:rsid w:val="00AA4FA7"/>
    <w:rsid w:val="00AD7551"/>
    <w:rsid w:val="00AE3E37"/>
    <w:rsid w:val="00B03F97"/>
    <w:rsid w:val="00B21A57"/>
    <w:rsid w:val="00B21F2C"/>
    <w:rsid w:val="00B82A40"/>
    <w:rsid w:val="00B9765D"/>
    <w:rsid w:val="00BE6743"/>
    <w:rsid w:val="00C33602"/>
    <w:rsid w:val="00C529BC"/>
    <w:rsid w:val="00C56C74"/>
    <w:rsid w:val="00C916E4"/>
    <w:rsid w:val="00C96077"/>
    <w:rsid w:val="00CC1C2C"/>
    <w:rsid w:val="00CD6F55"/>
    <w:rsid w:val="00CF75F5"/>
    <w:rsid w:val="00D10FBB"/>
    <w:rsid w:val="00D47EDC"/>
    <w:rsid w:val="00D64893"/>
    <w:rsid w:val="00D71990"/>
    <w:rsid w:val="00DD7882"/>
    <w:rsid w:val="00DE3104"/>
    <w:rsid w:val="00DE6170"/>
    <w:rsid w:val="00E13CC2"/>
    <w:rsid w:val="00E30AAC"/>
    <w:rsid w:val="00E578CF"/>
    <w:rsid w:val="00E95D97"/>
    <w:rsid w:val="00EA7D51"/>
    <w:rsid w:val="00F046EA"/>
    <w:rsid w:val="00F20773"/>
    <w:rsid w:val="00F30461"/>
    <w:rsid w:val="00F312EA"/>
    <w:rsid w:val="00F35A62"/>
    <w:rsid w:val="00F5121B"/>
    <w:rsid w:val="00F52DAF"/>
    <w:rsid w:val="00F72EEA"/>
    <w:rsid w:val="00F81BD4"/>
    <w:rsid w:val="00F84CAE"/>
    <w:rsid w:val="00FA41DE"/>
    <w:rsid w:val="00FB06DE"/>
    <w:rsid w:val="00FE0C8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AFED6"/>
  <w15:docId w15:val="{77752C8E-E9E2-40B6-8E3B-8624AE53C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paragraph" w:styleId="ad">
    <w:name w:val="Normal (Web)"/>
    <w:basedOn w:val="a"/>
    <w:uiPriority w:val="99"/>
    <w:semiHidden/>
    <w:unhideWhenUsed/>
    <w:rsid w:val="00D6489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202972">
      <w:bodyDiv w:val="1"/>
      <w:marLeft w:val="0"/>
      <w:marRight w:val="0"/>
      <w:marTop w:val="0"/>
      <w:marBottom w:val="0"/>
      <w:divBdr>
        <w:top w:val="none" w:sz="0" w:space="0" w:color="auto"/>
        <w:left w:val="none" w:sz="0" w:space="0" w:color="auto"/>
        <w:bottom w:val="none" w:sz="0" w:space="0" w:color="auto"/>
        <w:right w:val="none" w:sz="0" w:space="0" w:color="auto"/>
      </w:divBdr>
      <w:divsChild>
        <w:div w:id="915750653">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831364353">
              <w:marLeft w:val="0"/>
              <w:marRight w:val="0"/>
              <w:marTop w:val="0"/>
              <w:marBottom w:val="0"/>
              <w:divBdr>
                <w:top w:val="none" w:sz="0" w:space="0" w:color="auto"/>
                <w:left w:val="none" w:sz="0" w:space="0" w:color="auto"/>
                <w:bottom w:val="none" w:sz="0" w:space="0" w:color="auto"/>
                <w:right w:val="none" w:sz="0" w:space="0" w:color="auto"/>
              </w:divBdr>
              <w:divsChild>
                <w:div w:id="639387089">
                  <w:marLeft w:val="0"/>
                  <w:marRight w:val="0"/>
                  <w:marTop w:val="0"/>
                  <w:marBottom w:val="0"/>
                  <w:divBdr>
                    <w:top w:val="none" w:sz="0" w:space="0" w:color="auto"/>
                    <w:left w:val="none" w:sz="0" w:space="0" w:color="auto"/>
                    <w:bottom w:val="none" w:sz="0" w:space="0" w:color="auto"/>
                    <w:right w:val="none" w:sz="0" w:space="0" w:color="auto"/>
                  </w:divBdr>
                  <w:divsChild>
                    <w:div w:id="169229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911941">
      <w:bodyDiv w:val="1"/>
      <w:marLeft w:val="0"/>
      <w:marRight w:val="0"/>
      <w:marTop w:val="0"/>
      <w:marBottom w:val="0"/>
      <w:divBdr>
        <w:top w:val="none" w:sz="0" w:space="0" w:color="auto"/>
        <w:left w:val="none" w:sz="0" w:space="0" w:color="auto"/>
        <w:bottom w:val="none" w:sz="0" w:space="0" w:color="auto"/>
        <w:right w:val="none" w:sz="0" w:space="0" w:color="auto"/>
      </w:divBdr>
      <w:divsChild>
        <w:div w:id="1872526012">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551191795">
              <w:marLeft w:val="0"/>
              <w:marRight w:val="0"/>
              <w:marTop w:val="0"/>
              <w:marBottom w:val="0"/>
              <w:divBdr>
                <w:top w:val="none" w:sz="0" w:space="0" w:color="auto"/>
                <w:left w:val="none" w:sz="0" w:space="0" w:color="auto"/>
                <w:bottom w:val="none" w:sz="0" w:space="0" w:color="auto"/>
                <w:right w:val="none" w:sz="0" w:space="0" w:color="auto"/>
              </w:divBdr>
              <w:divsChild>
                <w:div w:id="19283771">
                  <w:marLeft w:val="0"/>
                  <w:marRight w:val="0"/>
                  <w:marTop w:val="0"/>
                  <w:marBottom w:val="0"/>
                  <w:divBdr>
                    <w:top w:val="none" w:sz="0" w:space="0" w:color="auto"/>
                    <w:left w:val="none" w:sz="0" w:space="0" w:color="auto"/>
                    <w:bottom w:val="none" w:sz="0" w:space="0" w:color="auto"/>
                    <w:right w:val="none" w:sz="0" w:space="0" w:color="auto"/>
                  </w:divBdr>
                  <w:divsChild>
                    <w:div w:id="109991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50958587">
      <w:bodyDiv w:val="1"/>
      <w:marLeft w:val="0"/>
      <w:marRight w:val="0"/>
      <w:marTop w:val="0"/>
      <w:marBottom w:val="0"/>
      <w:divBdr>
        <w:top w:val="none" w:sz="0" w:space="0" w:color="auto"/>
        <w:left w:val="none" w:sz="0" w:space="0" w:color="auto"/>
        <w:bottom w:val="none" w:sz="0" w:space="0" w:color="auto"/>
        <w:right w:val="none" w:sz="0" w:space="0" w:color="auto"/>
      </w:divBdr>
      <w:divsChild>
        <w:div w:id="2106145814">
          <w:marLeft w:val="0"/>
          <w:marRight w:val="0"/>
          <w:marTop w:val="0"/>
          <w:marBottom w:val="0"/>
          <w:divBdr>
            <w:top w:val="none" w:sz="0" w:space="0" w:color="auto"/>
            <w:left w:val="none" w:sz="0" w:space="0" w:color="auto"/>
            <w:bottom w:val="none" w:sz="0" w:space="0" w:color="auto"/>
            <w:right w:val="none" w:sz="0" w:space="0" w:color="auto"/>
          </w:divBdr>
        </w:div>
        <w:div w:id="605574819">
          <w:marLeft w:val="0"/>
          <w:marRight w:val="0"/>
          <w:marTop w:val="0"/>
          <w:marBottom w:val="0"/>
          <w:divBdr>
            <w:top w:val="none" w:sz="0" w:space="0" w:color="auto"/>
            <w:left w:val="none" w:sz="0" w:space="0" w:color="auto"/>
            <w:bottom w:val="none" w:sz="0" w:space="0" w:color="auto"/>
            <w:right w:val="none" w:sz="0" w:space="0" w:color="auto"/>
          </w:divBdr>
        </w:div>
        <w:div w:id="1389919834">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95182059">
      <w:bodyDiv w:val="1"/>
      <w:marLeft w:val="0"/>
      <w:marRight w:val="0"/>
      <w:marTop w:val="0"/>
      <w:marBottom w:val="0"/>
      <w:divBdr>
        <w:top w:val="none" w:sz="0" w:space="0" w:color="auto"/>
        <w:left w:val="none" w:sz="0" w:space="0" w:color="auto"/>
        <w:bottom w:val="none" w:sz="0" w:space="0" w:color="auto"/>
        <w:right w:val="none" w:sz="0" w:space="0" w:color="auto"/>
      </w:divBdr>
      <w:divsChild>
        <w:div w:id="1242911556">
          <w:marLeft w:val="0"/>
          <w:marRight w:val="0"/>
          <w:marTop w:val="0"/>
          <w:marBottom w:val="0"/>
          <w:divBdr>
            <w:top w:val="none" w:sz="0" w:space="0" w:color="auto"/>
            <w:left w:val="none" w:sz="0" w:space="0" w:color="auto"/>
            <w:bottom w:val="none" w:sz="0" w:space="0" w:color="auto"/>
            <w:right w:val="none" w:sz="0" w:space="0" w:color="auto"/>
          </w:divBdr>
        </w:div>
        <w:div w:id="59451938">
          <w:marLeft w:val="0"/>
          <w:marRight w:val="0"/>
          <w:marTop w:val="0"/>
          <w:marBottom w:val="0"/>
          <w:divBdr>
            <w:top w:val="none" w:sz="0" w:space="0" w:color="auto"/>
            <w:left w:val="none" w:sz="0" w:space="0" w:color="auto"/>
            <w:bottom w:val="none" w:sz="0" w:space="0" w:color="auto"/>
            <w:right w:val="none" w:sz="0" w:space="0" w:color="auto"/>
          </w:divBdr>
        </w:div>
        <w:div w:id="21050915">
          <w:marLeft w:val="0"/>
          <w:marRight w:val="0"/>
          <w:marTop w:val="0"/>
          <w:marBottom w:val="0"/>
          <w:divBdr>
            <w:top w:val="none" w:sz="0" w:space="0" w:color="auto"/>
            <w:left w:val="none" w:sz="0" w:space="0" w:color="auto"/>
            <w:bottom w:val="none" w:sz="0" w:space="0" w:color="auto"/>
            <w:right w:val="none" w:sz="0" w:space="0" w:color="auto"/>
          </w:divBdr>
        </w:div>
        <w:div w:id="52822228">
          <w:marLeft w:val="0"/>
          <w:marRight w:val="0"/>
          <w:marTop w:val="0"/>
          <w:marBottom w:val="0"/>
          <w:divBdr>
            <w:top w:val="none" w:sz="0" w:space="0" w:color="auto"/>
            <w:left w:val="none" w:sz="0" w:space="0" w:color="auto"/>
            <w:bottom w:val="none" w:sz="0" w:space="0" w:color="auto"/>
            <w:right w:val="none" w:sz="0" w:space="0" w:color="auto"/>
          </w:divBdr>
        </w:div>
        <w:div w:id="1565871406">
          <w:marLeft w:val="0"/>
          <w:marRight w:val="0"/>
          <w:marTop w:val="0"/>
          <w:marBottom w:val="0"/>
          <w:divBdr>
            <w:top w:val="none" w:sz="0" w:space="0" w:color="auto"/>
            <w:left w:val="none" w:sz="0" w:space="0" w:color="auto"/>
            <w:bottom w:val="none" w:sz="0" w:space="0" w:color="auto"/>
            <w:right w:val="none" w:sz="0" w:space="0" w:color="auto"/>
          </w:divBdr>
        </w:div>
        <w:div w:id="2128041017">
          <w:marLeft w:val="0"/>
          <w:marRight w:val="0"/>
          <w:marTop w:val="0"/>
          <w:marBottom w:val="0"/>
          <w:divBdr>
            <w:top w:val="none" w:sz="0" w:space="0" w:color="auto"/>
            <w:left w:val="none" w:sz="0" w:space="0" w:color="auto"/>
            <w:bottom w:val="none" w:sz="0" w:space="0" w:color="auto"/>
            <w:right w:val="none" w:sz="0" w:space="0" w:color="auto"/>
          </w:divBdr>
        </w:div>
        <w:div w:id="897936946">
          <w:marLeft w:val="0"/>
          <w:marRight w:val="0"/>
          <w:marTop w:val="0"/>
          <w:marBottom w:val="0"/>
          <w:divBdr>
            <w:top w:val="none" w:sz="0" w:space="0" w:color="auto"/>
            <w:left w:val="none" w:sz="0" w:space="0" w:color="auto"/>
            <w:bottom w:val="none" w:sz="0" w:space="0" w:color="auto"/>
            <w:right w:val="none" w:sz="0" w:space="0" w:color="auto"/>
          </w:divBdr>
        </w:div>
        <w:div w:id="595676446">
          <w:marLeft w:val="0"/>
          <w:marRight w:val="0"/>
          <w:marTop w:val="0"/>
          <w:marBottom w:val="0"/>
          <w:divBdr>
            <w:top w:val="none" w:sz="0" w:space="0" w:color="auto"/>
            <w:left w:val="none" w:sz="0" w:space="0" w:color="auto"/>
            <w:bottom w:val="none" w:sz="0" w:space="0" w:color="auto"/>
            <w:right w:val="none" w:sz="0" w:space="0" w:color="auto"/>
          </w:divBdr>
        </w:div>
        <w:div w:id="526869317">
          <w:marLeft w:val="0"/>
          <w:marRight w:val="0"/>
          <w:marTop w:val="0"/>
          <w:marBottom w:val="0"/>
          <w:divBdr>
            <w:top w:val="none" w:sz="0" w:space="0" w:color="auto"/>
            <w:left w:val="none" w:sz="0" w:space="0" w:color="auto"/>
            <w:bottom w:val="none" w:sz="0" w:space="0" w:color="auto"/>
            <w:right w:val="none" w:sz="0" w:space="0" w:color="auto"/>
          </w:divBdr>
        </w:div>
        <w:div w:id="2107113836">
          <w:marLeft w:val="0"/>
          <w:marRight w:val="0"/>
          <w:marTop w:val="0"/>
          <w:marBottom w:val="0"/>
          <w:divBdr>
            <w:top w:val="none" w:sz="0" w:space="0" w:color="auto"/>
            <w:left w:val="none" w:sz="0" w:space="0" w:color="auto"/>
            <w:bottom w:val="none" w:sz="0" w:space="0" w:color="auto"/>
            <w:right w:val="none" w:sz="0" w:space="0" w:color="auto"/>
          </w:divBdr>
        </w:div>
        <w:div w:id="423577633">
          <w:marLeft w:val="0"/>
          <w:marRight w:val="0"/>
          <w:marTop w:val="0"/>
          <w:marBottom w:val="0"/>
          <w:divBdr>
            <w:top w:val="none" w:sz="0" w:space="0" w:color="auto"/>
            <w:left w:val="none" w:sz="0" w:space="0" w:color="auto"/>
            <w:bottom w:val="none" w:sz="0" w:space="0" w:color="auto"/>
            <w:right w:val="none" w:sz="0" w:space="0" w:color="auto"/>
          </w:divBdr>
        </w:div>
        <w:div w:id="778372066">
          <w:marLeft w:val="0"/>
          <w:marRight w:val="0"/>
          <w:marTop w:val="0"/>
          <w:marBottom w:val="0"/>
          <w:divBdr>
            <w:top w:val="none" w:sz="0" w:space="0" w:color="auto"/>
            <w:left w:val="none" w:sz="0" w:space="0" w:color="auto"/>
            <w:bottom w:val="none" w:sz="0" w:space="0" w:color="auto"/>
            <w:right w:val="none" w:sz="0" w:space="0" w:color="auto"/>
          </w:divBdr>
        </w:div>
        <w:div w:id="24789927">
          <w:marLeft w:val="0"/>
          <w:marRight w:val="0"/>
          <w:marTop w:val="0"/>
          <w:marBottom w:val="0"/>
          <w:divBdr>
            <w:top w:val="none" w:sz="0" w:space="0" w:color="auto"/>
            <w:left w:val="none" w:sz="0" w:space="0" w:color="auto"/>
            <w:bottom w:val="none" w:sz="0" w:space="0" w:color="auto"/>
            <w:right w:val="none" w:sz="0" w:space="0" w:color="auto"/>
          </w:divBdr>
        </w:div>
        <w:div w:id="1883443243">
          <w:marLeft w:val="0"/>
          <w:marRight w:val="0"/>
          <w:marTop w:val="0"/>
          <w:marBottom w:val="0"/>
          <w:divBdr>
            <w:top w:val="none" w:sz="0" w:space="0" w:color="auto"/>
            <w:left w:val="none" w:sz="0" w:space="0" w:color="auto"/>
            <w:bottom w:val="none" w:sz="0" w:space="0" w:color="auto"/>
            <w:right w:val="none" w:sz="0" w:space="0" w:color="auto"/>
          </w:divBdr>
        </w:div>
        <w:div w:id="1099832735">
          <w:marLeft w:val="0"/>
          <w:marRight w:val="0"/>
          <w:marTop w:val="0"/>
          <w:marBottom w:val="0"/>
          <w:divBdr>
            <w:top w:val="none" w:sz="0" w:space="0" w:color="auto"/>
            <w:left w:val="none" w:sz="0" w:space="0" w:color="auto"/>
            <w:bottom w:val="none" w:sz="0" w:space="0" w:color="auto"/>
            <w:right w:val="none" w:sz="0" w:space="0" w:color="auto"/>
          </w:divBdr>
        </w:div>
        <w:div w:id="1767655600">
          <w:marLeft w:val="0"/>
          <w:marRight w:val="0"/>
          <w:marTop w:val="0"/>
          <w:marBottom w:val="0"/>
          <w:divBdr>
            <w:top w:val="none" w:sz="0" w:space="0" w:color="auto"/>
            <w:left w:val="none" w:sz="0" w:space="0" w:color="auto"/>
            <w:bottom w:val="none" w:sz="0" w:space="0" w:color="auto"/>
            <w:right w:val="none" w:sz="0" w:space="0" w:color="auto"/>
          </w:divBdr>
        </w:div>
        <w:div w:id="716658500">
          <w:marLeft w:val="0"/>
          <w:marRight w:val="0"/>
          <w:marTop w:val="0"/>
          <w:marBottom w:val="0"/>
          <w:divBdr>
            <w:top w:val="none" w:sz="0" w:space="0" w:color="auto"/>
            <w:left w:val="none" w:sz="0" w:space="0" w:color="auto"/>
            <w:bottom w:val="none" w:sz="0" w:space="0" w:color="auto"/>
            <w:right w:val="none" w:sz="0" w:space="0" w:color="auto"/>
          </w:divBdr>
        </w:div>
        <w:div w:id="1708531256">
          <w:marLeft w:val="0"/>
          <w:marRight w:val="0"/>
          <w:marTop w:val="0"/>
          <w:marBottom w:val="0"/>
          <w:divBdr>
            <w:top w:val="none" w:sz="0" w:space="0" w:color="auto"/>
            <w:left w:val="none" w:sz="0" w:space="0" w:color="auto"/>
            <w:bottom w:val="none" w:sz="0" w:space="0" w:color="auto"/>
            <w:right w:val="none" w:sz="0" w:space="0" w:color="auto"/>
          </w:divBdr>
        </w:div>
        <w:div w:id="1748184765">
          <w:marLeft w:val="0"/>
          <w:marRight w:val="0"/>
          <w:marTop w:val="0"/>
          <w:marBottom w:val="0"/>
          <w:divBdr>
            <w:top w:val="none" w:sz="0" w:space="0" w:color="auto"/>
            <w:left w:val="none" w:sz="0" w:space="0" w:color="auto"/>
            <w:bottom w:val="none" w:sz="0" w:space="0" w:color="auto"/>
            <w:right w:val="none" w:sz="0" w:space="0" w:color="auto"/>
          </w:divBdr>
        </w:div>
        <w:div w:id="65472073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2A4613-9478-40F0-A1B1-0338BDC80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418873681@qq.com</cp:lastModifiedBy>
  <cp:revision>8</cp:revision>
  <dcterms:created xsi:type="dcterms:W3CDTF">2022-04-15T13:03:00Z</dcterms:created>
  <dcterms:modified xsi:type="dcterms:W3CDTF">2022-04-16T11:05:00Z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