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513A01" w14:textId="62F7C6E4" w:rsidR="004514B9" w:rsidRPr="00567161" w:rsidRDefault="004514B9" w:rsidP="004514B9">
      <w:pPr>
        <w:jc w:val="center"/>
        <w:rPr>
          <w:rFonts w:ascii="Arial" w:hAnsi="Arial" w:cs="Arial"/>
        </w:rPr>
      </w:pPr>
      <w:r>
        <w:rPr>
          <w:rStyle w:val="Strong"/>
          <w:rFonts w:ascii="Arial" w:eastAsia="Calibri" w:hAnsi="Arial" w:cs="Arial"/>
          <w:color w:val="0E101A"/>
        </w:rPr>
        <w:t xml:space="preserve">THE </w:t>
      </w:r>
      <w:r w:rsidR="00D52615">
        <w:rPr>
          <w:rStyle w:val="Strong"/>
          <w:rFonts w:ascii="Arial" w:eastAsia="Calibri" w:hAnsi="Arial" w:cs="Arial"/>
          <w:color w:val="0E101A"/>
        </w:rPr>
        <w:t>FUNCTIONAL</w:t>
      </w:r>
      <w:r w:rsidRPr="00567161">
        <w:rPr>
          <w:rStyle w:val="Strong"/>
          <w:rFonts w:ascii="Arial" w:eastAsia="Calibri" w:hAnsi="Arial" w:cs="Arial"/>
          <w:color w:val="0E101A"/>
        </w:rPr>
        <w:t xml:space="preserve"> </w:t>
      </w:r>
      <w:r w:rsidR="00D52615">
        <w:rPr>
          <w:rStyle w:val="Strong"/>
          <w:rFonts w:ascii="Arial" w:eastAsia="Calibri" w:hAnsi="Arial" w:cs="Arial"/>
          <w:color w:val="0E101A"/>
        </w:rPr>
        <w:t xml:space="preserve">ROLES </w:t>
      </w:r>
      <w:r>
        <w:rPr>
          <w:rStyle w:val="Strong"/>
          <w:rFonts w:ascii="Arial" w:eastAsia="Calibri" w:hAnsi="Arial" w:cs="Arial"/>
          <w:color w:val="0E101A"/>
        </w:rPr>
        <w:t>OF</w:t>
      </w:r>
      <w:r w:rsidRPr="00567161">
        <w:rPr>
          <w:rStyle w:val="Strong"/>
          <w:rFonts w:ascii="Arial" w:eastAsia="Calibri" w:hAnsi="Arial" w:cs="Arial"/>
          <w:color w:val="0E101A"/>
        </w:rPr>
        <w:t xml:space="preserve"> SELECTED AGR</w:t>
      </w:r>
      <w:r>
        <w:rPr>
          <w:rStyle w:val="Strong"/>
          <w:rFonts w:ascii="Arial" w:eastAsia="Calibri" w:hAnsi="Arial" w:cs="Arial"/>
          <w:color w:val="0E101A"/>
        </w:rPr>
        <w:t xml:space="preserve">ICULTURAL BY-PRODUCTS </w:t>
      </w:r>
      <w:r w:rsidRPr="00567161">
        <w:rPr>
          <w:rStyle w:val="Strong"/>
          <w:rFonts w:ascii="Arial" w:eastAsia="Calibri" w:hAnsi="Arial" w:cs="Arial"/>
          <w:color w:val="0E101A"/>
        </w:rPr>
        <w:t>IN LOW</w:t>
      </w:r>
      <w:r>
        <w:rPr>
          <w:rStyle w:val="Strong"/>
          <w:rFonts w:ascii="Arial" w:eastAsia="Calibri" w:hAnsi="Arial" w:cs="Arial"/>
          <w:color w:val="0E101A"/>
        </w:rPr>
        <w:t>ERING</w:t>
      </w:r>
      <w:r w:rsidRPr="00567161">
        <w:rPr>
          <w:rStyle w:val="Strong"/>
          <w:rFonts w:ascii="Arial" w:eastAsia="Calibri" w:hAnsi="Arial" w:cs="Arial"/>
          <w:color w:val="0E101A"/>
        </w:rPr>
        <w:t xml:space="preserve"> G</w:t>
      </w:r>
      <w:r w:rsidR="00D52615">
        <w:rPr>
          <w:rStyle w:val="Strong"/>
          <w:rFonts w:ascii="Arial" w:eastAsia="Calibri" w:hAnsi="Arial" w:cs="Arial"/>
          <w:color w:val="0E101A"/>
        </w:rPr>
        <w:t xml:space="preserve">LYCEMIC INDEX </w:t>
      </w:r>
      <w:r>
        <w:rPr>
          <w:rStyle w:val="Strong"/>
          <w:rFonts w:ascii="Arial" w:eastAsia="Calibri" w:hAnsi="Arial" w:cs="Arial"/>
          <w:color w:val="0E101A"/>
        </w:rPr>
        <w:t xml:space="preserve">OF </w:t>
      </w:r>
      <w:r w:rsidRPr="00567161">
        <w:rPr>
          <w:rStyle w:val="Strong"/>
          <w:rFonts w:ascii="Arial" w:eastAsia="Calibri" w:hAnsi="Arial" w:cs="Arial"/>
          <w:color w:val="0E101A"/>
        </w:rPr>
        <w:t>FOOD</w:t>
      </w:r>
      <w:r>
        <w:rPr>
          <w:rStyle w:val="Strong"/>
          <w:rFonts w:ascii="Arial" w:eastAsia="Calibri" w:hAnsi="Arial" w:cs="Arial"/>
          <w:color w:val="0E101A"/>
        </w:rPr>
        <w:t>S</w:t>
      </w:r>
      <w:r w:rsidRPr="00567161">
        <w:rPr>
          <w:rStyle w:val="Strong"/>
          <w:rFonts w:ascii="Arial" w:eastAsia="Calibri" w:hAnsi="Arial" w:cs="Arial"/>
          <w:color w:val="0E101A"/>
        </w:rPr>
        <w:t xml:space="preserve"> </w:t>
      </w:r>
    </w:p>
    <w:p w14:paraId="7C2B1DBD" w14:textId="77777777" w:rsidR="004514B9" w:rsidRPr="00907894" w:rsidRDefault="004514B9" w:rsidP="004514B9">
      <w:pPr>
        <w:jc w:val="center"/>
        <w:outlineLvl w:val="0"/>
        <w:rPr>
          <w:rFonts w:ascii="Arial" w:hAnsi="Arial" w:cs="Arial"/>
          <w:b/>
          <w:sz w:val="20"/>
          <w:szCs w:val="20"/>
        </w:rPr>
      </w:pPr>
    </w:p>
    <w:p w14:paraId="1D20D2A6" w14:textId="77777777" w:rsidR="004514B9" w:rsidRPr="00907894" w:rsidRDefault="004514B9" w:rsidP="004514B9">
      <w:pPr>
        <w:spacing w:line="360" w:lineRule="auto"/>
        <w:jc w:val="center"/>
        <w:outlineLvl w:val="0"/>
        <w:rPr>
          <w:rFonts w:ascii="Arial" w:hAnsi="Arial" w:cs="Arial"/>
          <w:sz w:val="20"/>
          <w:szCs w:val="20"/>
          <w:vertAlign w:val="superscript"/>
        </w:rPr>
      </w:pPr>
      <w:r w:rsidRPr="00884C1E">
        <w:rPr>
          <w:rFonts w:ascii="Arial" w:hAnsi="Arial" w:cs="Arial"/>
          <w:sz w:val="20"/>
          <w:szCs w:val="20"/>
          <w:vertAlign w:val="superscript"/>
        </w:rPr>
        <w:t>1</w:t>
      </w:r>
      <w:r>
        <w:rPr>
          <w:rFonts w:ascii="Arial" w:hAnsi="Arial" w:cs="Arial"/>
          <w:sz w:val="20"/>
          <w:szCs w:val="20"/>
          <w:vertAlign w:val="superscript"/>
        </w:rPr>
        <w:t>*</w:t>
      </w:r>
      <w:r w:rsidRPr="00907894">
        <w:rPr>
          <w:rFonts w:ascii="Arial" w:hAnsi="Arial" w:cs="Arial"/>
          <w:sz w:val="20"/>
          <w:szCs w:val="20"/>
        </w:rPr>
        <w:t>Wan Rosli W</w:t>
      </w:r>
      <w:r>
        <w:rPr>
          <w:rFonts w:ascii="Arial" w:hAnsi="Arial" w:cs="Arial"/>
          <w:sz w:val="20"/>
          <w:szCs w:val="20"/>
        </w:rPr>
        <w:t>. I.</w:t>
      </w:r>
      <w:r w:rsidRPr="00884C1E">
        <w:rPr>
          <w:rFonts w:ascii="Arial" w:hAnsi="Arial" w:cs="Arial"/>
          <w:sz w:val="20"/>
          <w:szCs w:val="20"/>
        </w:rPr>
        <w:t>,</w:t>
      </w:r>
      <w:r w:rsidRPr="00884C1E">
        <w:rPr>
          <w:rFonts w:ascii="Arial" w:hAnsi="Arial" w:cs="Arial"/>
          <w:bCs/>
          <w:sz w:val="20"/>
          <w:szCs w:val="20"/>
        </w:rPr>
        <w:t xml:space="preserve"> </w:t>
      </w:r>
      <w:r w:rsidRPr="00884C1E">
        <w:rPr>
          <w:rFonts w:ascii="Arial" w:hAnsi="Arial" w:cs="Arial"/>
          <w:bCs/>
          <w:sz w:val="20"/>
          <w:szCs w:val="20"/>
          <w:vertAlign w:val="superscript"/>
        </w:rPr>
        <w:t>2</w:t>
      </w:r>
      <w:r w:rsidRPr="00907894">
        <w:rPr>
          <w:rFonts w:ascii="Arial" w:hAnsi="Arial" w:cs="Arial"/>
          <w:sz w:val="20"/>
          <w:szCs w:val="20"/>
        </w:rPr>
        <w:t>Tengku Alina T</w:t>
      </w:r>
      <w:r>
        <w:rPr>
          <w:rFonts w:ascii="Arial" w:hAnsi="Arial" w:cs="Arial"/>
          <w:sz w:val="20"/>
          <w:szCs w:val="20"/>
        </w:rPr>
        <w:t>.</w:t>
      </w:r>
      <w:r w:rsidRPr="00907894">
        <w:rPr>
          <w:rFonts w:ascii="Arial" w:hAnsi="Arial" w:cs="Arial"/>
          <w:sz w:val="20"/>
          <w:szCs w:val="20"/>
        </w:rPr>
        <w:t xml:space="preserve"> I, </w:t>
      </w:r>
      <w:r w:rsidRPr="00884C1E">
        <w:rPr>
          <w:rFonts w:ascii="Arial" w:hAnsi="Arial" w:cs="Arial"/>
          <w:sz w:val="20"/>
          <w:szCs w:val="20"/>
          <w:vertAlign w:val="superscript"/>
        </w:rPr>
        <w:t>1</w:t>
      </w:r>
      <w:r w:rsidRPr="00884C1E">
        <w:rPr>
          <w:rFonts w:ascii="Arial" w:hAnsi="Arial" w:cs="Arial"/>
          <w:bCs/>
          <w:sz w:val="20"/>
          <w:szCs w:val="20"/>
        </w:rPr>
        <w:t>Ng Y</w:t>
      </w:r>
      <w:r>
        <w:rPr>
          <w:rFonts w:ascii="Arial" w:hAnsi="Arial" w:cs="Arial"/>
          <w:bCs/>
          <w:sz w:val="20"/>
          <w:szCs w:val="20"/>
        </w:rPr>
        <w:t>.</w:t>
      </w:r>
      <w:r w:rsidRPr="00884C1E">
        <w:rPr>
          <w:rFonts w:ascii="Arial" w:hAnsi="Arial" w:cs="Arial"/>
          <w:bCs/>
          <w:sz w:val="20"/>
          <w:szCs w:val="20"/>
        </w:rPr>
        <w:t xml:space="preserve"> V</w:t>
      </w:r>
      <w:r>
        <w:rPr>
          <w:rFonts w:ascii="Arial" w:hAnsi="Arial" w:cs="Arial"/>
          <w:bCs/>
          <w:sz w:val="20"/>
          <w:szCs w:val="20"/>
        </w:rPr>
        <w:t xml:space="preserve">, </w:t>
      </w:r>
      <w:r w:rsidRPr="00567161">
        <w:rPr>
          <w:rFonts w:ascii="Arial" w:hAnsi="Arial" w:cs="Arial"/>
          <w:bCs/>
          <w:sz w:val="20"/>
          <w:szCs w:val="20"/>
          <w:vertAlign w:val="superscript"/>
        </w:rPr>
        <w:t>1</w:t>
      </w:r>
      <w:r>
        <w:rPr>
          <w:rFonts w:ascii="Arial" w:hAnsi="Arial" w:cs="Arial"/>
          <w:bCs/>
          <w:sz w:val="20"/>
          <w:szCs w:val="20"/>
        </w:rPr>
        <w:t xml:space="preserve">Saffanah A. A., </w:t>
      </w:r>
      <w:r w:rsidRPr="00567161">
        <w:rPr>
          <w:rFonts w:ascii="Arial" w:hAnsi="Arial" w:cs="Arial"/>
          <w:bCs/>
          <w:sz w:val="20"/>
          <w:szCs w:val="20"/>
          <w:vertAlign w:val="superscript"/>
        </w:rPr>
        <w:t>1</w:t>
      </w:r>
      <w:r>
        <w:rPr>
          <w:rFonts w:ascii="Arial" w:hAnsi="Arial" w:cs="Arial"/>
          <w:bCs/>
          <w:sz w:val="20"/>
          <w:szCs w:val="20"/>
        </w:rPr>
        <w:t xml:space="preserve">Raihana, H., </w:t>
      </w:r>
      <w:r w:rsidRPr="00567161">
        <w:rPr>
          <w:rFonts w:ascii="Arial" w:hAnsi="Arial" w:cs="Arial"/>
          <w:bCs/>
          <w:sz w:val="20"/>
          <w:szCs w:val="20"/>
          <w:vertAlign w:val="superscript"/>
        </w:rPr>
        <w:t>1</w:t>
      </w:r>
      <w:r>
        <w:rPr>
          <w:rFonts w:ascii="Arial" w:hAnsi="Arial" w:cs="Arial"/>
          <w:bCs/>
          <w:sz w:val="20"/>
          <w:szCs w:val="20"/>
        </w:rPr>
        <w:t>Siti Azhani, A.</w:t>
      </w:r>
    </w:p>
    <w:p w14:paraId="0F3DEEDE" w14:textId="77777777" w:rsidR="004514B9" w:rsidRPr="00907894" w:rsidRDefault="004514B9" w:rsidP="004514B9">
      <w:pPr>
        <w:jc w:val="center"/>
        <w:outlineLvl w:val="0"/>
        <w:rPr>
          <w:rFonts w:ascii="Arial" w:hAnsi="Arial" w:cs="Arial"/>
          <w:sz w:val="20"/>
          <w:szCs w:val="20"/>
        </w:rPr>
      </w:pPr>
    </w:p>
    <w:p w14:paraId="560175D7" w14:textId="77777777" w:rsidR="004514B9" w:rsidRPr="00907894" w:rsidRDefault="004514B9" w:rsidP="004514B9">
      <w:pPr>
        <w:jc w:val="center"/>
        <w:outlineLvl w:val="0"/>
        <w:rPr>
          <w:rFonts w:ascii="Arial" w:hAnsi="Arial" w:cs="Arial"/>
          <w:sz w:val="20"/>
          <w:szCs w:val="20"/>
        </w:rPr>
      </w:pPr>
      <w:r w:rsidRPr="00884C1E">
        <w:rPr>
          <w:rFonts w:ascii="Arial" w:hAnsi="Arial" w:cs="Arial"/>
          <w:color w:val="000000" w:themeColor="text1"/>
          <w:sz w:val="20"/>
          <w:szCs w:val="20"/>
          <w:vertAlign w:val="superscript"/>
        </w:rPr>
        <w:t>1</w:t>
      </w:r>
      <w:r w:rsidRPr="00884C1E">
        <w:rPr>
          <w:rFonts w:ascii="Arial" w:hAnsi="Arial" w:cs="Arial"/>
          <w:color w:val="000000" w:themeColor="text1"/>
          <w:sz w:val="20"/>
          <w:szCs w:val="20"/>
        </w:rPr>
        <w:t xml:space="preserve">Nutrition and Dietetics Program, School of Health Sciences, Universiti Sains Malaysia Health </w:t>
      </w:r>
      <w:r w:rsidRPr="364FD88D">
        <w:rPr>
          <w:rFonts w:ascii="Arial" w:hAnsi="Arial" w:cs="Arial"/>
          <w:sz w:val="20"/>
          <w:szCs w:val="20"/>
        </w:rPr>
        <w:t>Campus, 16150 Kubang Kerian, Kelantan</w:t>
      </w:r>
    </w:p>
    <w:p w14:paraId="1112A5FB" w14:textId="77777777" w:rsidR="004514B9" w:rsidRPr="00907894" w:rsidRDefault="004514B9" w:rsidP="004514B9">
      <w:pPr>
        <w:jc w:val="center"/>
        <w:outlineLvl w:val="0"/>
        <w:rPr>
          <w:rFonts w:ascii="Arial" w:hAnsi="Arial" w:cs="Arial"/>
          <w:sz w:val="20"/>
          <w:szCs w:val="20"/>
        </w:rPr>
      </w:pPr>
      <w:r w:rsidRPr="00907894">
        <w:rPr>
          <w:rFonts w:ascii="Arial" w:hAnsi="Arial" w:cs="Arial"/>
          <w:sz w:val="20"/>
          <w:szCs w:val="20"/>
          <w:vertAlign w:val="superscript"/>
        </w:rPr>
        <w:t>2</w:t>
      </w:r>
      <w:r w:rsidRPr="00907894">
        <w:rPr>
          <w:rFonts w:ascii="Arial" w:hAnsi="Arial" w:cs="Arial"/>
          <w:sz w:val="20"/>
          <w:szCs w:val="20"/>
        </w:rPr>
        <w:t>Community Medicine, School of Medical Sciences, Universiti Sains Malaysia Health Campus, 16150 Kubang Kerian, Kelantan</w:t>
      </w:r>
    </w:p>
    <w:p w14:paraId="13763EBD" w14:textId="77777777" w:rsidR="004514B9" w:rsidRPr="00907894" w:rsidRDefault="004514B9" w:rsidP="004514B9">
      <w:pPr>
        <w:jc w:val="center"/>
        <w:outlineLvl w:val="0"/>
        <w:rPr>
          <w:rFonts w:ascii="Arial" w:hAnsi="Arial" w:cs="Arial"/>
          <w:sz w:val="20"/>
          <w:szCs w:val="20"/>
        </w:rPr>
      </w:pPr>
    </w:p>
    <w:p w14:paraId="3A51A71C" w14:textId="77777777" w:rsidR="004514B9" w:rsidRPr="00907894" w:rsidRDefault="004514B9" w:rsidP="004514B9">
      <w:pPr>
        <w:spacing w:line="360" w:lineRule="auto"/>
        <w:jc w:val="center"/>
        <w:outlineLvl w:val="0"/>
        <w:rPr>
          <w:rFonts w:ascii="Arial" w:hAnsi="Arial" w:cs="Arial"/>
          <w:color w:val="8496B0"/>
          <w:sz w:val="20"/>
          <w:szCs w:val="20"/>
        </w:rPr>
      </w:pPr>
      <w:r w:rsidRPr="00907894">
        <w:rPr>
          <w:rFonts w:ascii="Arial" w:hAnsi="Arial" w:cs="Arial"/>
          <w:sz w:val="20"/>
          <w:szCs w:val="20"/>
          <w:vertAlign w:val="superscript"/>
        </w:rPr>
        <w:t>*</w:t>
      </w:r>
      <w:r w:rsidRPr="00907894">
        <w:rPr>
          <w:rFonts w:ascii="Arial" w:hAnsi="Arial" w:cs="Arial"/>
          <w:sz w:val="20"/>
          <w:szCs w:val="20"/>
        </w:rPr>
        <w:t>Corresponding author: Wan Rosli Wan Ishak, wrosli@usm.my</w:t>
      </w:r>
    </w:p>
    <w:p w14:paraId="6984BDD4" w14:textId="77777777" w:rsidR="004514B9" w:rsidRPr="00907894" w:rsidRDefault="004514B9" w:rsidP="004514B9">
      <w:pPr>
        <w:jc w:val="center"/>
        <w:outlineLvl w:val="0"/>
        <w:rPr>
          <w:rFonts w:ascii="Arial" w:hAnsi="Arial" w:cs="Arial"/>
          <w:i/>
          <w:color w:val="8496B0"/>
          <w:sz w:val="20"/>
          <w:szCs w:val="20"/>
        </w:rPr>
      </w:pPr>
    </w:p>
    <w:p w14:paraId="247353FF" w14:textId="77777777" w:rsidR="004514B9" w:rsidRPr="00907894" w:rsidRDefault="004514B9" w:rsidP="004514B9">
      <w:pPr>
        <w:spacing w:line="360" w:lineRule="auto"/>
        <w:jc w:val="center"/>
        <w:outlineLvl w:val="0"/>
        <w:rPr>
          <w:rFonts w:ascii="Arial" w:hAnsi="Arial" w:cs="Arial"/>
          <w:b/>
          <w:sz w:val="20"/>
          <w:szCs w:val="20"/>
        </w:rPr>
      </w:pPr>
      <w:r w:rsidRPr="00907894">
        <w:rPr>
          <w:rFonts w:ascii="Arial" w:hAnsi="Arial" w:cs="Arial"/>
          <w:b/>
          <w:sz w:val="20"/>
          <w:szCs w:val="20"/>
        </w:rPr>
        <w:t xml:space="preserve">Abstract </w:t>
      </w:r>
    </w:p>
    <w:p w14:paraId="776A1947" w14:textId="77777777" w:rsidR="004514B9" w:rsidRDefault="004514B9" w:rsidP="004514B9">
      <w:pPr>
        <w:pStyle w:val="Body"/>
        <w:jc w:val="both"/>
      </w:pPr>
    </w:p>
    <w:p w14:paraId="3C58A91C" w14:textId="05A4B8BE" w:rsidR="004514B9" w:rsidRDefault="001A2117" w:rsidP="004514B9">
      <w:pPr>
        <w:pStyle w:val="Body"/>
        <w:jc w:val="both"/>
      </w:pPr>
      <w:r>
        <w:t>Presently</w:t>
      </w:r>
      <w:r w:rsidR="004514B9" w:rsidRPr="007A1FD7">
        <w:t xml:space="preserve">, the incidence of non-communicable diseases is increasingly growing with the number of diabetic people expected to increase from 171 million in 2000 to 366 million in 2030. This is the </w:t>
      </w:r>
      <w:r w:rsidRPr="007A1FD7">
        <w:t>key</w:t>
      </w:r>
      <w:r w:rsidR="004514B9" w:rsidRPr="007A1FD7">
        <w:t xml:space="preserve"> cause of morbidity and mortality all </w:t>
      </w:r>
      <w:r>
        <w:t>around the globe</w:t>
      </w:r>
      <w:r w:rsidR="004514B9" w:rsidRPr="007A1FD7">
        <w:t xml:space="preserve"> because it can lead to </w:t>
      </w:r>
      <w:r w:rsidRPr="007A1FD7">
        <w:t>complications</w:t>
      </w:r>
      <w:r w:rsidR="004514B9" w:rsidRPr="007A1FD7">
        <w:t xml:space="preserve"> in health and affect the quality of life.</w:t>
      </w:r>
      <w:r w:rsidR="004514B9">
        <w:t xml:space="preserve"> </w:t>
      </w:r>
      <w:r w:rsidR="004514B9" w:rsidRPr="007A1FD7">
        <w:t xml:space="preserve">High </w:t>
      </w:r>
      <w:r>
        <w:t>consumption</w:t>
      </w:r>
      <w:r w:rsidR="004514B9" w:rsidRPr="007A1FD7">
        <w:t xml:space="preserve"> of refined carbohydrates and fats coupled with low intake of dietary </w:t>
      </w:r>
      <w:proofErr w:type="spellStart"/>
      <w:r w:rsidR="004514B9" w:rsidRPr="007A1FD7">
        <w:t>fibres</w:t>
      </w:r>
      <w:proofErr w:type="spellEnd"/>
      <w:r w:rsidR="004514B9" w:rsidRPr="007A1FD7">
        <w:t xml:space="preserve">, particularly from fruit and vegetables, has increased the risk of </w:t>
      </w:r>
      <w:r>
        <w:t xml:space="preserve">colorectal cancer, </w:t>
      </w:r>
      <w:r w:rsidR="004514B9" w:rsidRPr="007A1FD7">
        <w:t xml:space="preserve">CVD, </w:t>
      </w:r>
      <w:proofErr w:type="gramStart"/>
      <w:r w:rsidR="004514B9" w:rsidRPr="007A1FD7">
        <w:t>diabetes</w:t>
      </w:r>
      <w:proofErr w:type="gramEnd"/>
      <w:r w:rsidR="004514B9" w:rsidRPr="007A1FD7">
        <w:t xml:space="preserve"> and other diseases. An increase in the quantities and varieties of fiber-containing foods may prevent or treat many of the non-communicable diseases (including obesity, </w:t>
      </w:r>
      <w:proofErr w:type="gramStart"/>
      <w:r w:rsidR="004514B9" w:rsidRPr="007A1FD7">
        <w:t>CVD</w:t>
      </w:r>
      <w:proofErr w:type="gramEnd"/>
      <w:r w:rsidR="004514B9" w:rsidRPr="007A1FD7">
        <w:t xml:space="preserve"> and diabetes mellitus)</w:t>
      </w:r>
      <w:r w:rsidR="004514B9">
        <w:t xml:space="preserve">. </w:t>
      </w:r>
      <w:r>
        <w:t xml:space="preserve">An ideal </w:t>
      </w:r>
      <w:r w:rsidR="004514B9">
        <w:t>recommended</w:t>
      </w:r>
      <w:r w:rsidR="004514B9" w:rsidRPr="007A1FD7">
        <w:t xml:space="preserve"> </w:t>
      </w:r>
      <w:r w:rsidR="004514B9">
        <w:t xml:space="preserve">intake of </w:t>
      </w:r>
      <w:r w:rsidR="004514B9" w:rsidRPr="007A1FD7">
        <w:t xml:space="preserve">dietary </w:t>
      </w:r>
      <w:proofErr w:type="spellStart"/>
      <w:r w:rsidR="004514B9" w:rsidRPr="007A1FD7">
        <w:t>fibre</w:t>
      </w:r>
      <w:proofErr w:type="spellEnd"/>
      <w:r w:rsidR="004514B9" w:rsidRPr="007A1FD7">
        <w:t xml:space="preserve"> levels </w:t>
      </w:r>
      <w:r>
        <w:t>is</w:t>
      </w:r>
      <w:r w:rsidR="004514B9" w:rsidRPr="007A1FD7">
        <w:t xml:space="preserve"> 20-35g / day. </w:t>
      </w:r>
      <w:r>
        <w:t xml:space="preserve">However, </w:t>
      </w:r>
      <w:r w:rsidR="004514B9" w:rsidRPr="007A1FD7">
        <w:t xml:space="preserve">the </w:t>
      </w:r>
      <w:r>
        <w:t>average</w:t>
      </w:r>
      <w:r w:rsidR="004514B9" w:rsidRPr="007A1FD7">
        <w:t xml:space="preserve"> intake for DF among particularly Malaysian populations is </w:t>
      </w:r>
      <w:r w:rsidR="00176C1A">
        <w:t>alarmingly</w:t>
      </w:r>
      <w:r>
        <w:t xml:space="preserve"> </w:t>
      </w:r>
      <w:r w:rsidR="004514B9" w:rsidRPr="007A1FD7">
        <w:t>low, which is only 16g / day. The inclusion of vegetable DF in processed food items is one of the easiest attempts to increase the degree of DF. By reducing the rate of glucose absorption in the small intestine, the DF increases the glycemic response.</w:t>
      </w:r>
      <w:r w:rsidR="004514B9">
        <w:t xml:space="preserve"> </w:t>
      </w:r>
      <w:r w:rsidR="004514B9" w:rsidRPr="007A1FD7">
        <w:t>The DF enhances glycemic response by raising the rate of absorption of glucose in the small intestine, thereby lowering the GI value. Low GI diet will make us feel full for a longer duration while minimizing overeating at the same time. Low GI diet is beneficial to reduce the risks and complications of different health conditions such as diabetes.</w:t>
      </w:r>
      <w:r w:rsidR="004514B9">
        <w:t xml:space="preserve"> </w:t>
      </w:r>
      <w:r w:rsidR="004514B9" w:rsidRPr="009E14D5">
        <w:t xml:space="preserve">Our research reveals that incorporation of </w:t>
      </w:r>
      <w:proofErr w:type="spellStart"/>
      <w:r w:rsidR="004514B9" w:rsidRPr="009E14D5">
        <w:t>agro</w:t>
      </w:r>
      <w:proofErr w:type="spellEnd"/>
      <w:r w:rsidR="004514B9" w:rsidRPr="009E14D5">
        <w:t xml:space="preserve">-residual </w:t>
      </w:r>
      <w:r w:rsidR="00176C1A">
        <w:t>resources</w:t>
      </w:r>
      <w:r w:rsidR="004514B9" w:rsidRPr="009E14D5">
        <w:t xml:space="preserve"> from banana (over-ripe banana), oyster mushroom and </w:t>
      </w:r>
      <w:proofErr w:type="spellStart"/>
      <w:r w:rsidR="004514B9" w:rsidRPr="009E14D5">
        <w:t>cornlettes</w:t>
      </w:r>
      <w:proofErr w:type="spellEnd"/>
      <w:r w:rsidR="004514B9" w:rsidRPr="009E14D5">
        <w:t xml:space="preserve"> in a few baked-based products such as cookies, pasta, cakes, </w:t>
      </w:r>
      <w:proofErr w:type="gramStart"/>
      <w:r w:rsidR="004514B9" w:rsidRPr="009E14D5">
        <w:t>muffins</w:t>
      </w:r>
      <w:proofErr w:type="gramEnd"/>
      <w:r w:rsidR="004514B9" w:rsidRPr="009E14D5">
        <w:t xml:space="preserve"> and flatbread already successful and scientifically proven in </w:t>
      </w:r>
      <w:r w:rsidR="004514B9">
        <w:t xml:space="preserve">improving dietary </w:t>
      </w:r>
      <w:proofErr w:type="spellStart"/>
      <w:r w:rsidR="004514B9">
        <w:t>fibre</w:t>
      </w:r>
      <w:proofErr w:type="spellEnd"/>
      <w:r w:rsidR="004514B9">
        <w:t xml:space="preserve"> content while </w:t>
      </w:r>
      <w:r w:rsidR="004514B9" w:rsidRPr="009E14D5">
        <w:t xml:space="preserve">lowering GI values. In brief, physically active, eating properly and regularly sufficient </w:t>
      </w:r>
      <w:r w:rsidR="00176C1A">
        <w:t>levels</w:t>
      </w:r>
      <w:r w:rsidR="004514B9" w:rsidRPr="009E14D5">
        <w:t xml:space="preserve"> of dietary </w:t>
      </w:r>
      <w:proofErr w:type="spellStart"/>
      <w:r w:rsidR="004514B9" w:rsidRPr="009E14D5">
        <w:t>fibres</w:t>
      </w:r>
      <w:proofErr w:type="spellEnd"/>
      <w:r w:rsidR="004514B9" w:rsidRPr="009E14D5">
        <w:t xml:space="preserve"> from fruits and vegetables are vital; what we consume and drink now, affects our health in the future.  </w:t>
      </w:r>
    </w:p>
    <w:p w14:paraId="305C7BCD" w14:textId="77777777" w:rsidR="004514B9" w:rsidRDefault="004514B9" w:rsidP="004514B9">
      <w:pPr>
        <w:pStyle w:val="Body"/>
        <w:jc w:val="both"/>
      </w:pPr>
    </w:p>
    <w:p w14:paraId="67063F23" w14:textId="77777777" w:rsidR="004514B9" w:rsidRPr="009E14D5" w:rsidRDefault="004514B9" w:rsidP="004514B9">
      <w:pPr>
        <w:spacing w:line="360" w:lineRule="auto"/>
        <w:jc w:val="both"/>
        <w:outlineLvl w:val="0"/>
        <w:rPr>
          <w:rFonts w:ascii="Arial" w:hAnsi="Arial" w:cs="Arial"/>
          <w:b/>
          <w:color w:val="8496B0"/>
        </w:rPr>
      </w:pPr>
      <w:bookmarkStart w:id="0" w:name="OLE_LINK2"/>
      <w:r w:rsidRPr="009E14D5">
        <w:rPr>
          <w:rFonts w:ascii="Arial" w:hAnsi="Arial" w:cs="Arial"/>
          <w:b/>
        </w:rPr>
        <w:t>Keywords</w:t>
      </w:r>
      <w:r w:rsidRPr="009E14D5">
        <w:rPr>
          <w:rFonts w:ascii="Arial" w:hAnsi="Arial" w:cs="Arial"/>
        </w:rPr>
        <w:t>: Cornlettes, glycemix index, oyster mushroom and overripe banana</w:t>
      </w:r>
    </w:p>
    <w:bookmarkEnd w:id="0"/>
    <w:p w14:paraId="6B0A6966" w14:textId="77777777" w:rsidR="0067616A" w:rsidRDefault="0067616A"/>
    <w:p w14:paraId="6558A942" w14:textId="77777777" w:rsidR="005C191F" w:rsidRDefault="005C191F"/>
    <w:sectPr w:rsidR="005C191F" w:rsidSect="002137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91F"/>
    <w:rsid w:val="00176C1A"/>
    <w:rsid w:val="001A2117"/>
    <w:rsid w:val="0021377E"/>
    <w:rsid w:val="004514B9"/>
    <w:rsid w:val="005C191F"/>
    <w:rsid w:val="0067616A"/>
    <w:rsid w:val="00D52615"/>
    <w:rsid w:val="00EB1E07"/>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E3650"/>
  <w15:chartTrackingRefBased/>
  <w15:docId w15:val="{0218BA55-B3CE-4829-BA68-6EC7ACA9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4514B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rPr>
  </w:style>
  <w:style w:type="character" w:styleId="Strong">
    <w:name w:val="Strong"/>
    <w:basedOn w:val="DefaultParagraphFont"/>
    <w:uiPriority w:val="22"/>
    <w:qFormat/>
    <w:rsid w:val="004514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 Rosli Wan Ishak</dc:creator>
  <cp:keywords/>
  <dc:description/>
  <cp:lastModifiedBy>Wan Rosli Wan Ishak</cp:lastModifiedBy>
  <cp:revision>6</cp:revision>
  <dcterms:created xsi:type="dcterms:W3CDTF">2021-11-23T23:07:00Z</dcterms:created>
  <dcterms:modified xsi:type="dcterms:W3CDTF">2021-11-23T23:16:00Z</dcterms:modified>
</cp:coreProperties>
</file>