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8"/>
        <w:rPr>
          <w:rFonts w:ascii="Times New Roman"/>
          <w:sz w:val="28"/>
        </w:rPr>
      </w:pPr>
    </w:p>
    <w:p>
      <w:pPr>
        <w:pStyle w:val="BodyText"/>
        <w:spacing w:line="360" w:lineRule="auto" w:before="52"/>
        <w:ind w:left="3167" w:right="3247" w:firstLine="9"/>
        <w:jc w:val="center"/>
      </w:pPr>
      <w:r>
        <w:rPr/>
        <w:t>East Avenue Medical Center Department of Internal</w:t>
      </w:r>
      <w:r>
        <w:rPr>
          <w:spacing w:val="-14"/>
        </w:rPr>
        <w:t> </w:t>
      </w:r>
      <w:r>
        <w:rPr/>
        <w:t>Medicine</w:t>
      </w:r>
    </w:p>
    <w:p>
      <w:pPr>
        <w:pStyle w:val="BodyText"/>
      </w:pPr>
    </w:p>
    <w:p>
      <w:pPr>
        <w:pStyle w:val="BodyText"/>
      </w:pPr>
    </w:p>
    <w:p>
      <w:pPr>
        <w:pStyle w:val="BodyText"/>
      </w:pPr>
    </w:p>
    <w:p>
      <w:pPr>
        <w:pStyle w:val="BodyText"/>
      </w:pPr>
    </w:p>
    <w:p>
      <w:pPr>
        <w:pStyle w:val="BodyText"/>
      </w:pPr>
    </w:p>
    <w:p>
      <w:pPr>
        <w:pStyle w:val="BodyText"/>
      </w:pPr>
    </w:p>
    <w:p>
      <w:pPr>
        <w:pStyle w:val="BodyText"/>
        <w:spacing w:before="10"/>
        <w:rPr>
          <w:sz w:val="22"/>
        </w:rPr>
      </w:pPr>
    </w:p>
    <w:p>
      <w:pPr>
        <w:pStyle w:val="Heading1"/>
        <w:ind w:left="1007" w:right="1094"/>
        <w:jc w:val="center"/>
      </w:pPr>
      <w:r>
        <w:rPr/>
        <w:t>Intestinal Tuberculosis in a Patient with Cushing's syndrome: A Case Report</w:t>
      </w:r>
    </w:p>
    <w:p>
      <w:pPr>
        <w:pStyle w:val="BodyText"/>
        <w:rPr>
          <w:b/>
        </w:rPr>
      </w:pPr>
    </w:p>
    <w:p>
      <w:pPr>
        <w:pStyle w:val="BodyText"/>
        <w:rPr>
          <w:b/>
        </w:rPr>
      </w:pPr>
    </w:p>
    <w:p>
      <w:pPr>
        <w:pStyle w:val="BodyText"/>
        <w:rPr>
          <w:b/>
        </w:rPr>
      </w:pPr>
    </w:p>
    <w:p>
      <w:pPr>
        <w:pStyle w:val="BodyText"/>
        <w:spacing w:line="360" w:lineRule="auto" w:before="148"/>
        <w:ind w:left="3070" w:right="3436"/>
        <w:jc w:val="center"/>
      </w:pPr>
      <w:r>
        <w:rPr/>
        <w:t>Johanne Myrrh E. Soriano, M.D. Rene A. Amadore Jr., M.D.</w:t>
      </w:r>
    </w:p>
    <w:p>
      <w:pPr>
        <w:pStyle w:val="BodyText"/>
        <w:spacing w:line="360" w:lineRule="auto" w:before="2"/>
        <w:ind w:left="2426" w:right="2782" w:hanging="3"/>
        <w:jc w:val="center"/>
      </w:pPr>
      <w:r>
        <w:rPr/>
        <w:t>Roy Raoul H. Felipe, M.D., FPCP, FPSEDM Lovell B. Gatchalian, M.D., FPCP, FPSG, FPSDE Department of Internal Medicine</w:t>
      </w:r>
    </w:p>
    <w:p>
      <w:pPr>
        <w:pStyle w:val="BodyText"/>
        <w:spacing w:line="290" w:lineRule="exact"/>
        <w:ind w:left="743" w:right="1094"/>
        <w:jc w:val="center"/>
      </w:pPr>
      <w:r>
        <w:rPr/>
        <w:t>East Avenue Medical Center</w:t>
      </w:r>
    </w:p>
    <w:p>
      <w:pPr>
        <w:spacing w:after="0" w:line="290" w:lineRule="exact"/>
        <w:jc w:val="center"/>
        <w:sectPr>
          <w:type w:val="continuous"/>
          <w:pgSz w:w="12240" w:h="15840"/>
          <w:pgMar w:top="1500" w:bottom="280" w:left="1340" w:right="1260"/>
        </w:sectPr>
      </w:pPr>
    </w:p>
    <w:p>
      <w:pPr>
        <w:pStyle w:val="BodyText"/>
        <w:spacing w:before="1"/>
        <w:rPr>
          <w:sz w:val="27"/>
        </w:rPr>
      </w:pPr>
    </w:p>
    <w:p>
      <w:pPr>
        <w:pStyle w:val="Heading1"/>
        <w:spacing w:before="51"/>
      </w:pPr>
      <w:r>
        <w:rPr/>
        <w:t>ABSTRACT</w:t>
      </w:r>
    </w:p>
    <w:p>
      <w:pPr>
        <w:pStyle w:val="BodyText"/>
        <w:spacing w:line="360" w:lineRule="auto" w:before="148"/>
        <w:ind w:left="100" w:right="174" w:firstLine="720"/>
        <w:jc w:val="both"/>
      </w:pPr>
      <w:r>
        <w:rPr/>
        <w:t>A 39-year-old woman presented with cushingoid features was worked up and diagnosed to have ACTH-independent Cushing's syndrome. Computed tomography of the whole abdomen revealed left adrenal mass. She was scheduled for elective laparoscopic left adrenalectomy, however, a few days prior to the procedure, the patient had hematochezia and was admitted earlier than scheduled. Colonoscopy done revealing multiple ulcers on terminal ileum to which biopsy and genexpert done revealing </w:t>
      </w:r>
      <w:r>
        <w:rPr>
          <w:i/>
        </w:rPr>
        <w:t>Mycobacterium tuberculosis </w:t>
      </w:r>
      <w:r>
        <w:rPr/>
        <w:t>infection. Patient underwent laparoscopic left adrenalectomy on the same admission which revealed adrenal adenoma on histopathology.</w:t>
      </w:r>
    </w:p>
    <w:p>
      <w:pPr>
        <w:pStyle w:val="BodyText"/>
      </w:pPr>
    </w:p>
    <w:p>
      <w:pPr>
        <w:spacing w:before="147"/>
        <w:ind w:left="100" w:right="0" w:firstLine="0"/>
        <w:jc w:val="left"/>
        <w:rPr>
          <w:sz w:val="24"/>
        </w:rPr>
      </w:pPr>
      <w:r>
        <w:rPr>
          <w:b/>
          <w:sz w:val="24"/>
        </w:rPr>
        <w:t>Keywords</w:t>
      </w:r>
      <w:r>
        <w:rPr>
          <w:sz w:val="24"/>
        </w:rPr>
        <w:t>: Cushing's syndrome, </w:t>
      </w:r>
      <w:r>
        <w:rPr>
          <w:i/>
          <w:sz w:val="24"/>
        </w:rPr>
        <w:t>Mycobacterium tuberculosis </w:t>
      </w:r>
      <w:r>
        <w:rPr>
          <w:sz w:val="24"/>
        </w:rPr>
        <w:t>infection, Adrenal adenoma</w:t>
      </w:r>
    </w:p>
    <w:p>
      <w:pPr>
        <w:pStyle w:val="BodyText"/>
      </w:pPr>
    </w:p>
    <w:p>
      <w:pPr>
        <w:pStyle w:val="BodyText"/>
        <w:spacing w:before="1"/>
      </w:pPr>
    </w:p>
    <w:p>
      <w:pPr>
        <w:pStyle w:val="Heading1"/>
      </w:pPr>
      <w:r>
        <w:rPr/>
        <w:t>INTRODUCTION</w:t>
      </w:r>
    </w:p>
    <w:p>
      <w:pPr>
        <w:pStyle w:val="BodyText"/>
        <w:spacing w:line="360" w:lineRule="auto" w:before="142"/>
        <w:ind w:left="100" w:right="171" w:firstLine="720"/>
        <w:jc w:val="both"/>
      </w:pPr>
      <w:r>
        <w:rPr>
          <w:color w:val="202020"/>
        </w:rPr>
        <w:t>Tuberculosis is an endemic disease in the Philippines, ranking fourth worldwide in incidence.</w:t>
      </w:r>
      <w:r>
        <w:rPr>
          <w:color w:val="202020"/>
          <w:spacing w:val="-9"/>
        </w:rPr>
        <w:t> </w:t>
      </w:r>
      <w:r>
        <w:rPr>
          <w:color w:val="202020"/>
        </w:rPr>
        <w:t>About</w:t>
      </w:r>
      <w:r>
        <w:rPr>
          <w:color w:val="202020"/>
          <w:spacing w:val="-9"/>
        </w:rPr>
        <w:t> </w:t>
      </w:r>
      <w:r>
        <w:rPr>
          <w:color w:val="202020"/>
        </w:rPr>
        <w:t>1</w:t>
      </w:r>
      <w:r>
        <w:rPr>
          <w:color w:val="202020"/>
          <w:spacing w:val="-10"/>
        </w:rPr>
        <w:t> </w:t>
      </w:r>
      <w:r>
        <w:rPr>
          <w:color w:val="202020"/>
        </w:rPr>
        <w:t>million</w:t>
      </w:r>
      <w:r>
        <w:rPr>
          <w:color w:val="202020"/>
          <w:spacing w:val="-10"/>
        </w:rPr>
        <w:t> </w:t>
      </w:r>
      <w:r>
        <w:rPr>
          <w:color w:val="202020"/>
        </w:rPr>
        <w:t>Filipinos</w:t>
      </w:r>
      <w:r>
        <w:rPr>
          <w:color w:val="202020"/>
          <w:spacing w:val="-7"/>
        </w:rPr>
        <w:t> </w:t>
      </w:r>
      <w:r>
        <w:rPr>
          <w:color w:val="202020"/>
        </w:rPr>
        <w:t>have</w:t>
      </w:r>
      <w:r>
        <w:rPr>
          <w:color w:val="202020"/>
          <w:spacing w:val="-8"/>
        </w:rPr>
        <w:t> </w:t>
      </w:r>
      <w:r>
        <w:rPr>
          <w:color w:val="202020"/>
        </w:rPr>
        <w:t>active</w:t>
      </w:r>
      <w:r>
        <w:rPr>
          <w:color w:val="202020"/>
          <w:spacing w:val="-8"/>
        </w:rPr>
        <w:t> </w:t>
      </w:r>
      <w:r>
        <w:rPr>
          <w:color w:val="202020"/>
        </w:rPr>
        <w:t>tuberculosis,</w:t>
      </w:r>
      <w:r>
        <w:rPr>
          <w:color w:val="202020"/>
          <w:spacing w:val="-9"/>
        </w:rPr>
        <w:t> </w:t>
      </w:r>
      <w:r>
        <w:rPr>
          <w:color w:val="202020"/>
        </w:rPr>
        <w:t>and</w:t>
      </w:r>
      <w:r>
        <w:rPr>
          <w:color w:val="202020"/>
          <w:spacing w:val="-10"/>
        </w:rPr>
        <w:t> </w:t>
      </w:r>
      <w:r>
        <w:rPr>
          <w:color w:val="202020"/>
        </w:rPr>
        <w:t>nearly</w:t>
      </w:r>
      <w:r>
        <w:rPr>
          <w:color w:val="202020"/>
          <w:spacing w:val="-7"/>
        </w:rPr>
        <w:t> </w:t>
      </w:r>
      <w:r>
        <w:rPr>
          <w:color w:val="202020"/>
        </w:rPr>
        <w:t>70</w:t>
      </w:r>
      <w:r>
        <w:rPr>
          <w:color w:val="202020"/>
          <w:spacing w:val="-10"/>
        </w:rPr>
        <w:t> </w:t>
      </w:r>
      <w:r>
        <w:rPr>
          <w:color w:val="202020"/>
        </w:rPr>
        <w:t>Filipinos</w:t>
      </w:r>
      <w:r>
        <w:rPr>
          <w:color w:val="202020"/>
          <w:spacing w:val="-8"/>
        </w:rPr>
        <w:t> </w:t>
      </w:r>
      <w:r>
        <w:rPr>
          <w:color w:val="202020"/>
        </w:rPr>
        <w:t>die</w:t>
      </w:r>
      <w:r>
        <w:rPr>
          <w:color w:val="202020"/>
          <w:spacing w:val="-8"/>
        </w:rPr>
        <w:t> </w:t>
      </w:r>
      <w:r>
        <w:rPr>
          <w:color w:val="202020"/>
        </w:rPr>
        <w:t>every</w:t>
      </w:r>
      <w:r>
        <w:rPr>
          <w:color w:val="202020"/>
          <w:spacing w:val="-8"/>
        </w:rPr>
        <w:t> </w:t>
      </w:r>
      <w:r>
        <w:rPr>
          <w:color w:val="202020"/>
        </w:rPr>
        <w:t>day from this curable disease. (1) The pathogen </w:t>
      </w:r>
      <w:r>
        <w:rPr>
          <w:i/>
          <w:color w:val="202020"/>
        </w:rPr>
        <w:t>Mycobacterium tuberculosis </w:t>
      </w:r>
      <w:r>
        <w:rPr>
          <w:color w:val="202020"/>
        </w:rPr>
        <w:t>primarily causes pulmonary tuberculosis (PTB); however, it is also capable of causing disease in extrapulmonary organs, posing a significant threat to</w:t>
      </w:r>
      <w:r>
        <w:rPr>
          <w:color w:val="202020"/>
          <w:spacing w:val="-1"/>
        </w:rPr>
        <w:t> </w:t>
      </w:r>
      <w:r>
        <w:rPr>
          <w:color w:val="202020"/>
        </w:rPr>
        <w:t>health.</w:t>
      </w:r>
    </w:p>
    <w:p>
      <w:pPr>
        <w:pStyle w:val="BodyText"/>
      </w:pPr>
    </w:p>
    <w:p>
      <w:pPr>
        <w:pStyle w:val="BodyText"/>
        <w:spacing w:line="360" w:lineRule="auto" w:before="150"/>
        <w:ind w:left="100" w:right="171" w:firstLine="720"/>
        <w:jc w:val="both"/>
      </w:pPr>
      <w:r>
        <w:rPr>
          <w:i/>
          <w:color w:val="202020"/>
        </w:rPr>
        <w:t>M. tuberculosis </w:t>
      </w:r>
      <w:r>
        <w:rPr>
          <w:color w:val="202020"/>
        </w:rPr>
        <w:t>is most commonly transmitted from a person with infectious pulmonary TB by droplet nuclei. They are aerosolized by coughing, sneezing, or speaking, and there may be as many as 3000 infectious nuclei per cough. These tiny droplets dry rapidly. Depending on the environment,</w:t>
      </w:r>
      <w:r>
        <w:rPr>
          <w:color w:val="202020"/>
          <w:spacing w:val="-17"/>
        </w:rPr>
        <w:t> </w:t>
      </w:r>
      <w:r>
        <w:rPr>
          <w:color w:val="202020"/>
        </w:rPr>
        <w:t>the</w:t>
      </w:r>
      <w:r>
        <w:rPr>
          <w:color w:val="202020"/>
          <w:spacing w:val="-16"/>
        </w:rPr>
        <w:t> </w:t>
      </w:r>
      <w:r>
        <w:rPr>
          <w:color w:val="202020"/>
        </w:rPr>
        <w:t>smallest</w:t>
      </w:r>
      <w:r>
        <w:rPr>
          <w:color w:val="202020"/>
          <w:spacing w:val="-16"/>
        </w:rPr>
        <w:t> </w:t>
      </w:r>
      <w:r>
        <w:rPr>
          <w:color w:val="202020"/>
        </w:rPr>
        <w:t>(&lt;5</w:t>
      </w:r>
      <w:r>
        <w:rPr>
          <w:rFonts w:ascii="Arial" w:hAnsi="Arial"/>
          <w:color w:val="202020"/>
        </w:rPr>
        <w:t>–10</w:t>
      </w:r>
      <w:r>
        <w:rPr>
          <w:rFonts w:ascii="Arial" w:hAnsi="Arial"/>
          <w:color w:val="202020"/>
          <w:spacing w:val="-30"/>
        </w:rPr>
        <w:t> </w:t>
      </w:r>
      <w:r>
        <w:rPr>
          <w:rFonts w:ascii="Arial" w:hAnsi="Arial"/>
          <w:color w:val="202020"/>
        </w:rPr>
        <w:t>μm</w:t>
      </w:r>
      <w:r>
        <w:rPr>
          <w:rFonts w:ascii="Arial" w:hAnsi="Arial"/>
          <w:color w:val="202020"/>
          <w:spacing w:val="-30"/>
        </w:rPr>
        <w:t> </w:t>
      </w:r>
      <w:r>
        <w:rPr>
          <w:rFonts w:ascii="Arial" w:hAnsi="Arial"/>
          <w:color w:val="202020"/>
        </w:rPr>
        <w:t>in</w:t>
      </w:r>
      <w:r>
        <w:rPr>
          <w:rFonts w:ascii="Arial" w:hAnsi="Arial"/>
          <w:color w:val="202020"/>
          <w:spacing w:val="-27"/>
        </w:rPr>
        <w:t> </w:t>
      </w:r>
      <w:r>
        <w:rPr>
          <w:rFonts w:ascii="Arial" w:hAnsi="Arial"/>
          <w:color w:val="202020"/>
        </w:rPr>
        <w:t>diameter)</w:t>
      </w:r>
      <w:r>
        <w:rPr>
          <w:rFonts w:ascii="Arial" w:hAnsi="Arial"/>
          <w:color w:val="202020"/>
          <w:spacing w:val="-24"/>
        </w:rPr>
        <w:t> </w:t>
      </w:r>
      <w:r>
        <w:rPr>
          <w:rFonts w:ascii="Arial" w:hAnsi="Arial"/>
          <w:color w:val="202020"/>
        </w:rPr>
        <w:t>may</w:t>
      </w:r>
      <w:r>
        <w:rPr>
          <w:rFonts w:ascii="Arial" w:hAnsi="Arial"/>
          <w:color w:val="202020"/>
          <w:spacing w:val="-28"/>
        </w:rPr>
        <w:t> </w:t>
      </w:r>
      <w:r>
        <w:rPr>
          <w:rFonts w:ascii="Arial" w:hAnsi="Arial"/>
          <w:color w:val="202020"/>
        </w:rPr>
        <w:t>remain</w:t>
      </w:r>
      <w:r>
        <w:rPr>
          <w:rFonts w:ascii="Arial" w:hAnsi="Arial"/>
          <w:color w:val="202020"/>
          <w:spacing w:val="-30"/>
        </w:rPr>
        <w:t> </w:t>
      </w:r>
      <w:r>
        <w:rPr>
          <w:rFonts w:ascii="Arial" w:hAnsi="Arial"/>
          <w:color w:val="202020"/>
        </w:rPr>
        <w:t>suspended</w:t>
      </w:r>
      <w:r>
        <w:rPr>
          <w:rFonts w:ascii="Arial" w:hAnsi="Arial"/>
          <w:color w:val="202020"/>
          <w:spacing w:val="-26"/>
        </w:rPr>
        <w:t> </w:t>
      </w:r>
      <w:r>
        <w:rPr>
          <w:rFonts w:ascii="Arial" w:hAnsi="Arial"/>
          <w:color w:val="202020"/>
        </w:rPr>
        <w:t>in</w:t>
      </w:r>
      <w:r>
        <w:rPr>
          <w:rFonts w:ascii="Arial" w:hAnsi="Arial"/>
          <w:color w:val="202020"/>
          <w:spacing w:val="-29"/>
        </w:rPr>
        <w:t> </w:t>
      </w:r>
      <w:r>
        <w:rPr>
          <w:rFonts w:ascii="Arial" w:hAnsi="Arial"/>
          <w:color w:val="202020"/>
        </w:rPr>
        <w:t>th</w:t>
      </w:r>
      <w:r>
        <w:rPr>
          <w:color w:val="202020"/>
        </w:rPr>
        <w:t>e</w:t>
      </w:r>
      <w:r>
        <w:rPr>
          <w:color w:val="202020"/>
          <w:spacing w:val="-16"/>
        </w:rPr>
        <w:t> </w:t>
      </w:r>
      <w:r>
        <w:rPr>
          <w:color w:val="202020"/>
        </w:rPr>
        <w:t>air</w:t>
      </w:r>
      <w:r>
        <w:rPr>
          <w:color w:val="202020"/>
          <w:spacing w:val="-16"/>
        </w:rPr>
        <w:t> </w:t>
      </w:r>
      <w:r>
        <w:rPr>
          <w:color w:val="202020"/>
        </w:rPr>
        <w:t>for</w:t>
      </w:r>
      <w:r>
        <w:rPr>
          <w:color w:val="202020"/>
          <w:spacing w:val="-16"/>
        </w:rPr>
        <w:t> </w:t>
      </w:r>
      <w:r>
        <w:rPr>
          <w:color w:val="202020"/>
        </w:rPr>
        <w:t>several hours and may reach the terminal air passages when inhaled. Other routes of transmission of tubercle bacilli (e.g., through the skin or the placenta) are uncommon and of no epidemiologic significance.</w:t>
      </w:r>
      <w:r>
        <w:rPr>
          <w:color w:val="202020"/>
          <w:spacing w:val="-8"/>
        </w:rPr>
        <w:t> </w:t>
      </w:r>
      <w:r>
        <w:rPr>
          <w:color w:val="202020"/>
        </w:rPr>
        <w:t>(2)</w:t>
      </w:r>
      <w:r>
        <w:rPr>
          <w:color w:val="202020"/>
          <w:spacing w:val="-6"/>
        </w:rPr>
        <w:t> </w:t>
      </w:r>
      <w:r>
        <w:rPr>
          <w:color w:val="202020"/>
        </w:rPr>
        <w:t>Gastrointestinal</w:t>
      </w:r>
      <w:r>
        <w:rPr>
          <w:color w:val="202020"/>
          <w:spacing w:val="-8"/>
        </w:rPr>
        <w:t> </w:t>
      </w:r>
      <w:r>
        <w:rPr>
          <w:color w:val="202020"/>
        </w:rPr>
        <w:t>tract</w:t>
      </w:r>
      <w:r>
        <w:rPr>
          <w:color w:val="202020"/>
          <w:spacing w:val="-8"/>
        </w:rPr>
        <w:t> </w:t>
      </w:r>
      <w:r>
        <w:rPr>
          <w:color w:val="202020"/>
          <w:spacing w:val="-3"/>
        </w:rPr>
        <w:t>is</w:t>
      </w:r>
      <w:r>
        <w:rPr>
          <w:color w:val="202020"/>
          <w:spacing w:val="-7"/>
        </w:rPr>
        <w:t> </w:t>
      </w:r>
      <w:r>
        <w:rPr>
          <w:color w:val="202020"/>
        </w:rPr>
        <w:t>one</w:t>
      </w:r>
      <w:r>
        <w:rPr>
          <w:color w:val="202020"/>
          <w:spacing w:val="-7"/>
        </w:rPr>
        <w:t> </w:t>
      </w:r>
      <w:r>
        <w:rPr>
          <w:color w:val="202020"/>
        </w:rPr>
        <w:t>of</w:t>
      </w:r>
      <w:r>
        <w:rPr>
          <w:color w:val="202020"/>
          <w:spacing w:val="-2"/>
        </w:rPr>
        <w:t> </w:t>
      </w:r>
      <w:r>
        <w:rPr>
          <w:color w:val="202020"/>
        </w:rPr>
        <w:t>the</w:t>
      </w:r>
      <w:r>
        <w:rPr>
          <w:color w:val="202020"/>
          <w:spacing w:val="-12"/>
        </w:rPr>
        <w:t> </w:t>
      </w:r>
      <w:r>
        <w:rPr>
          <w:color w:val="202020"/>
        </w:rPr>
        <w:t>organs</w:t>
      </w:r>
      <w:r>
        <w:rPr>
          <w:color w:val="202020"/>
          <w:spacing w:val="-6"/>
        </w:rPr>
        <w:t> </w:t>
      </w:r>
      <w:r>
        <w:rPr>
          <w:color w:val="202020"/>
        </w:rPr>
        <w:t>that</w:t>
      </w:r>
      <w:r>
        <w:rPr>
          <w:color w:val="202020"/>
          <w:spacing w:val="-8"/>
        </w:rPr>
        <w:t> </w:t>
      </w:r>
      <w:r>
        <w:rPr>
          <w:color w:val="202020"/>
        </w:rPr>
        <w:t>could</w:t>
      </w:r>
      <w:r>
        <w:rPr>
          <w:color w:val="202020"/>
          <w:spacing w:val="-9"/>
        </w:rPr>
        <w:t> </w:t>
      </w:r>
      <w:r>
        <w:rPr>
          <w:color w:val="202020"/>
        </w:rPr>
        <w:t>be</w:t>
      </w:r>
      <w:r>
        <w:rPr>
          <w:color w:val="202020"/>
          <w:spacing w:val="-7"/>
        </w:rPr>
        <w:t> </w:t>
      </w:r>
      <w:r>
        <w:rPr>
          <w:color w:val="202020"/>
        </w:rPr>
        <w:t>rarely</w:t>
      </w:r>
      <w:r>
        <w:rPr>
          <w:color w:val="202020"/>
          <w:spacing w:val="-7"/>
        </w:rPr>
        <w:t> </w:t>
      </w:r>
      <w:r>
        <w:rPr>
          <w:color w:val="202020"/>
        </w:rPr>
        <w:t>affected</w:t>
      </w:r>
      <w:r>
        <w:rPr>
          <w:color w:val="202020"/>
          <w:spacing w:val="-9"/>
        </w:rPr>
        <w:t> </w:t>
      </w:r>
      <w:r>
        <w:rPr>
          <w:color w:val="202020"/>
        </w:rPr>
        <w:t>by</w:t>
      </w:r>
      <w:r>
        <w:rPr>
          <w:color w:val="202020"/>
          <w:spacing w:val="-7"/>
        </w:rPr>
        <w:t> </w:t>
      </w:r>
      <w:r>
        <w:rPr>
          <w:color w:val="202020"/>
        </w:rPr>
        <w:t>TB</w:t>
      </w:r>
      <w:r>
        <w:rPr>
          <w:color w:val="202020"/>
          <w:spacing w:val="-7"/>
        </w:rPr>
        <w:t> </w:t>
      </w:r>
      <w:r>
        <w:rPr>
          <w:color w:val="202020"/>
        </w:rPr>
        <w:t>and its symptoms include nausea, vomiting, change in bowel habit (constipation or diarrhea), and weight loss. Gastrointestinal tuberculosis (GI TB) can be transmitted by swallowing</w:t>
      </w:r>
      <w:r>
        <w:rPr>
          <w:color w:val="202020"/>
          <w:spacing w:val="39"/>
        </w:rPr>
        <w:t> </w:t>
      </w:r>
      <w:r>
        <w:rPr>
          <w:color w:val="202020"/>
        </w:rPr>
        <w:t>infected</w:t>
      </w:r>
    </w:p>
    <w:p>
      <w:pPr>
        <w:spacing w:after="0" w:line="360" w:lineRule="auto"/>
        <w:jc w:val="both"/>
        <w:sectPr>
          <w:pgSz w:w="12240" w:h="15840"/>
          <w:pgMar w:top="1500" w:bottom="280" w:left="1340" w:right="1260"/>
        </w:sectPr>
      </w:pPr>
    </w:p>
    <w:p>
      <w:pPr>
        <w:pStyle w:val="BodyText"/>
        <w:spacing w:line="360" w:lineRule="auto" w:before="22"/>
        <w:ind w:left="100"/>
      </w:pPr>
      <w:r>
        <w:rPr>
          <w:color w:val="202020"/>
        </w:rPr>
        <w:t>sputum with direct seeding, hematogenous spread, or through contaminated food particularly ingestion of milk from cows affected by bovine TB. (3)</w:t>
      </w:r>
    </w:p>
    <w:p>
      <w:pPr>
        <w:pStyle w:val="BodyText"/>
      </w:pPr>
    </w:p>
    <w:p>
      <w:pPr>
        <w:pStyle w:val="BodyText"/>
        <w:spacing w:line="360" w:lineRule="auto" w:before="148"/>
        <w:ind w:left="100" w:right="178" w:firstLine="720"/>
        <w:jc w:val="both"/>
      </w:pPr>
      <w:r>
        <w:rPr>
          <w:color w:val="202020"/>
        </w:rPr>
        <w:t>Unilateral</w:t>
      </w:r>
      <w:r>
        <w:rPr>
          <w:color w:val="202020"/>
          <w:spacing w:val="-13"/>
        </w:rPr>
        <w:t> </w:t>
      </w:r>
      <w:r>
        <w:rPr>
          <w:color w:val="202020"/>
        </w:rPr>
        <w:t>tumors</w:t>
      </w:r>
      <w:r>
        <w:rPr>
          <w:color w:val="202020"/>
          <w:spacing w:val="-12"/>
        </w:rPr>
        <w:t> </w:t>
      </w:r>
      <w:r>
        <w:rPr>
          <w:color w:val="202020"/>
        </w:rPr>
        <w:t>or</w:t>
      </w:r>
      <w:r>
        <w:rPr>
          <w:color w:val="202020"/>
          <w:spacing w:val="-12"/>
        </w:rPr>
        <w:t> </w:t>
      </w:r>
      <w:r>
        <w:rPr>
          <w:color w:val="202020"/>
        </w:rPr>
        <w:t>masses</w:t>
      </w:r>
      <w:r>
        <w:rPr>
          <w:color w:val="202020"/>
          <w:spacing w:val="-11"/>
        </w:rPr>
        <w:t> </w:t>
      </w:r>
      <w:r>
        <w:rPr>
          <w:color w:val="202020"/>
        </w:rPr>
        <w:t>of</w:t>
      </w:r>
      <w:r>
        <w:rPr>
          <w:color w:val="202020"/>
          <w:spacing w:val="-11"/>
        </w:rPr>
        <w:t> </w:t>
      </w:r>
      <w:r>
        <w:rPr>
          <w:color w:val="202020"/>
        </w:rPr>
        <w:t>the</w:t>
      </w:r>
      <w:r>
        <w:rPr>
          <w:color w:val="202020"/>
          <w:spacing w:val="-16"/>
        </w:rPr>
        <w:t> </w:t>
      </w:r>
      <w:r>
        <w:rPr>
          <w:color w:val="202020"/>
        </w:rPr>
        <w:t>adrenal</w:t>
      </w:r>
      <w:r>
        <w:rPr>
          <w:color w:val="202020"/>
          <w:spacing w:val="-13"/>
        </w:rPr>
        <w:t> </w:t>
      </w:r>
      <w:r>
        <w:rPr>
          <w:color w:val="202020"/>
        </w:rPr>
        <w:t>gland</w:t>
      </w:r>
      <w:r>
        <w:rPr>
          <w:color w:val="202020"/>
          <w:spacing w:val="-14"/>
        </w:rPr>
        <w:t> </w:t>
      </w:r>
      <w:r>
        <w:rPr>
          <w:color w:val="202020"/>
        </w:rPr>
        <w:t>are</w:t>
      </w:r>
      <w:r>
        <w:rPr>
          <w:color w:val="202020"/>
          <w:spacing w:val="-21"/>
        </w:rPr>
        <w:t> </w:t>
      </w:r>
      <w:r>
        <w:rPr>
          <w:color w:val="202020"/>
        </w:rPr>
        <w:t>common,</w:t>
      </w:r>
      <w:r>
        <w:rPr>
          <w:color w:val="202020"/>
          <w:spacing w:val="-13"/>
        </w:rPr>
        <w:t> </w:t>
      </w:r>
      <w:r>
        <w:rPr>
          <w:color w:val="202020"/>
        </w:rPr>
        <w:t>usually</w:t>
      </w:r>
      <w:r>
        <w:rPr>
          <w:color w:val="202020"/>
          <w:spacing w:val="-11"/>
        </w:rPr>
        <w:t> </w:t>
      </w:r>
      <w:r>
        <w:rPr>
          <w:color w:val="202020"/>
        </w:rPr>
        <w:t>asymptomatic,</w:t>
      </w:r>
      <w:r>
        <w:rPr>
          <w:color w:val="202020"/>
          <w:spacing w:val="-13"/>
        </w:rPr>
        <w:t> </w:t>
      </w:r>
      <w:r>
        <w:rPr>
          <w:color w:val="202020"/>
        </w:rPr>
        <w:t>and are discovered incidentally when the diameter is 3-3.5 cm. They are categorized as functional or nonfunctional, and as benign or malignant as the risk of malignancy increases with increasing tumor size. The majority of adrenocortical tumors are benign, non functioning adenomas, and others</w:t>
      </w:r>
      <w:r>
        <w:rPr>
          <w:color w:val="202020"/>
          <w:spacing w:val="-4"/>
        </w:rPr>
        <w:t> </w:t>
      </w:r>
      <w:r>
        <w:rPr>
          <w:color w:val="202020"/>
        </w:rPr>
        <w:t>are</w:t>
      </w:r>
      <w:r>
        <w:rPr>
          <w:color w:val="202020"/>
          <w:spacing w:val="-8"/>
        </w:rPr>
        <w:t> </w:t>
      </w:r>
      <w:r>
        <w:rPr>
          <w:color w:val="202020"/>
        </w:rPr>
        <w:t>hormone-secreting</w:t>
      </w:r>
      <w:r>
        <w:rPr>
          <w:color w:val="202020"/>
          <w:spacing w:val="-2"/>
        </w:rPr>
        <w:t> </w:t>
      </w:r>
      <w:r>
        <w:rPr>
          <w:color w:val="202020"/>
        </w:rPr>
        <w:t>adenomas</w:t>
      </w:r>
      <w:r>
        <w:rPr>
          <w:color w:val="202020"/>
          <w:spacing w:val="-4"/>
        </w:rPr>
        <w:t> </w:t>
      </w:r>
      <w:r>
        <w:rPr>
          <w:color w:val="202020"/>
        </w:rPr>
        <w:t>that</w:t>
      </w:r>
      <w:r>
        <w:rPr>
          <w:color w:val="202020"/>
          <w:spacing w:val="-5"/>
        </w:rPr>
        <w:t> </w:t>
      </w:r>
      <w:r>
        <w:rPr>
          <w:color w:val="202020"/>
        </w:rPr>
        <w:t>cause</w:t>
      </w:r>
      <w:r>
        <w:rPr>
          <w:color w:val="202020"/>
          <w:spacing w:val="-12"/>
        </w:rPr>
        <w:t> </w:t>
      </w:r>
      <w:r>
        <w:rPr>
          <w:color w:val="202020"/>
        </w:rPr>
        <w:t>Cushing's</w:t>
      </w:r>
      <w:r>
        <w:rPr>
          <w:color w:val="202020"/>
          <w:spacing w:val="-8"/>
        </w:rPr>
        <w:t> </w:t>
      </w:r>
      <w:r>
        <w:rPr>
          <w:color w:val="202020"/>
        </w:rPr>
        <w:t>syndrome,</w:t>
      </w:r>
      <w:r>
        <w:rPr>
          <w:color w:val="202020"/>
          <w:spacing w:val="-4"/>
        </w:rPr>
        <w:t> </w:t>
      </w:r>
      <w:r>
        <w:rPr>
          <w:color w:val="202020"/>
        </w:rPr>
        <w:t>primary</w:t>
      </w:r>
      <w:r>
        <w:rPr>
          <w:color w:val="202020"/>
          <w:spacing w:val="-8"/>
        </w:rPr>
        <w:t> </w:t>
      </w:r>
      <w:r>
        <w:rPr>
          <w:color w:val="202020"/>
        </w:rPr>
        <w:t>aldosteronism or much less commonly, virilization.</w:t>
      </w:r>
      <w:r>
        <w:rPr>
          <w:color w:val="202020"/>
          <w:spacing w:val="-1"/>
        </w:rPr>
        <w:t> </w:t>
      </w:r>
      <w:r>
        <w:rPr>
          <w:color w:val="202020"/>
        </w:rPr>
        <w:t>(4)</w:t>
      </w:r>
    </w:p>
    <w:p>
      <w:pPr>
        <w:pStyle w:val="BodyText"/>
      </w:pPr>
    </w:p>
    <w:p>
      <w:pPr>
        <w:pStyle w:val="BodyText"/>
        <w:spacing w:line="360" w:lineRule="auto" w:before="147"/>
        <w:ind w:left="100" w:right="172" w:firstLine="720"/>
        <w:jc w:val="both"/>
      </w:pPr>
      <w:r>
        <w:rPr/>
        <w:t>In this case report, we present a case of a 39-year-old female with ACTH-independent Cushing's syndrome from adrenal adenoma who presented with intestinal tuberculosis.</w:t>
      </w:r>
    </w:p>
    <w:p>
      <w:pPr>
        <w:pStyle w:val="BodyText"/>
        <w:spacing w:before="10"/>
        <w:rPr>
          <w:sz w:val="17"/>
        </w:rPr>
      </w:pPr>
      <w:r>
        <w:rPr/>
        <w:pict>
          <v:shape style="position:absolute;margin-left:72.025002pt;margin-top:13.225569pt;width:382.55pt;height:.1pt;mso-position-horizontal-relative:page;mso-position-vertical-relative:paragraph;z-index:-15728640;mso-wrap-distance-left:0;mso-wrap-distance-right:0" coordorigin="1441,265" coordsize="7651,0" path="m1441,265l9091,265e" filled="false" stroked="true" strokeweight=".77925pt" strokecolor="#000000">
            <v:path arrowok="t"/>
            <v:stroke dashstyle="solid"/>
            <w10:wrap type="topAndBottom"/>
          </v:shape>
        </w:pict>
      </w:r>
    </w:p>
    <w:p>
      <w:pPr>
        <w:pStyle w:val="BodyText"/>
        <w:rPr>
          <w:sz w:val="20"/>
        </w:rPr>
      </w:pPr>
    </w:p>
    <w:p>
      <w:pPr>
        <w:pStyle w:val="BodyText"/>
        <w:spacing w:before="10"/>
        <w:rPr>
          <w:sz w:val="22"/>
        </w:rPr>
      </w:pPr>
    </w:p>
    <w:p>
      <w:pPr>
        <w:pStyle w:val="Heading1"/>
        <w:spacing w:before="52"/>
      </w:pPr>
      <w:r>
        <w:rPr/>
        <w:t>CASE REPORT</w:t>
      </w:r>
    </w:p>
    <w:p>
      <w:pPr>
        <w:pStyle w:val="BodyText"/>
        <w:spacing w:line="360" w:lineRule="auto" w:before="147"/>
        <w:ind w:left="100" w:right="170" w:firstLine="720"/>
        <w:jc w:val="both"/>
      </w:pPr>
      <w:r>
        <w:rPr>
          <w:color w:val="202020"/>
        </w:rPr>
        <w:t>This is a case of a 39-year-old female presenting with one year history of moon facies, proximal myopathy, buffalo hump, abdominal striae, easy fatigability and hirsutism. The clinical impression was Cushing's syndrome, hence the patient was worked up for primary hyperaldosteronism and pheochromocytoma, both of which turned out negative. Laboratories showed as follows: ACTH 8.5pg/ml [Reference range: 5-46pg/mL] and 1mg Dexamethasone suppression test showed elevated result of 17.96ug/dl [Reference range: &lt;1.8 ug/dL]. Since the ACTH</w:t>
      </w:r>
      <w:r>
        <w:rPr>
          <w:color w:val="202020"/>
          <w:spacing w:val="-6"/>
        </w:rPr>
        <w:t> </w:t>
      </w:r>
      <w:r>
        <w:rPr>
          <w:color w:val="202020"/>
        </w:rPr>
        <w:t>was</w:t>
      </w:r>
      <w:r>
        <w:rPr>
          <w:color w:val="202020"/>
          <w:spacing w:val="-6"/>
        </w:rPr>
        <w:t> </w:t>
      </w:r>
      <w:r>
        <w:rPr>
          <w:color w:val="202020"/>
        </w:rPr>
        <w:t>normal</w:t>
      </w:r>
      <w:r>
        <w:rPr>
          <w:color w:val="202020"/>
          <w:spacing w:val="-6"/>
        </w:rPr>
        <w:t> </w:t>
      </w:r>
      <w:r>
        <w:rPr>
          <w:color w:val="202020"/>
        </w:rPr>
        <w:t>and</w:t>
      </w:r>
      <w:r>
        <w:rPr>
          <w:color w:val="202020"/>
          <w:spacing w:val="-3"/>
        </w:rPr>
        <w:t> </w:t>
      </w:r>
      <w:r>
        <w:rPr>
          <w:color w:val="202020"/>
        </w:rPr>
        <w:t>patient</w:t>
      </w:r>
      <w:r>
        <w:rPr>
          <w:color w:val="202020"/>
          <w:spacing w:val="-6"/>
        </w:rPr>
        <w:t> </w:t>
      </w:r>
      <w:r>
        <w:rPr>
          <w:color w:val="202020"/>
        </w:rPr>
        <w:t>has</w:t>
      </w:r>
      <w:r>
        <w:rPr>
          <w:color w:val="202020"/>
          <w:spacing w:val="-6"/>
        </w:rPr>
        <w:t> </w:t>
      </w:r>
      <w:r>
        <w:rPr>
          <w:color w:val="202020"/>
        </w:rPr>
        <w:t>no</w:t>
      </w:r>
      <w:r>
        <w:rPr>
          <w:color w:val="202020"/>
          <w:spacing w:val="-8"/>
        </w:rPr>
        <w:t> </w:t>
      </w:r>
      <w:r>
        <w:rPr>
          <w:color w:val="202020"/>
        </w:rPr>
        <w:t>history</w:t>
      </w:r>
      <w:r>
        <w:rPr>
          <w:color w:val="202020"/>
          <w:spacing w:val="-5"/>
        </w:rPr>
        <w:t> </w:t>
      </w:r>
      <w:r>
        <w:rPr>
          <w:color w:val="202020"/>
        </w:rPr>
        <w:t>of</w:t>
      </w:r>
      <w:r>
        <w:rPr>
          <w:color w:val="202020"/>
          <w:spacing w:val="-5"/>
        </w:rPr>
        <w:t> </w:t>
      </w:r>
      <w:r>
        <w:rPr>
          <w:color w:val="202020"/>
        </w:rPr>
        <w:t>exogenous</w:t>
      </w:r>
      <w:r>
        <w:rPr>
          <w:color w:val="202020"/>
          <w:spacing w:val="-5"/>
        </w:rPr>
        <w:t> </w:t>
      </w:r>
      <w:r>
        <w:rPr>
          <w:color w:val="202020"/>
        </w:rPr>
        <w:t>steroid</w:t>
      </w:r>
      <w:r>
        <w:rPr>
          <w:color w:val="202020"/>
          <w:spacing w:val="-8"/>
        </w:rPr>
        <w:t> </w:t>
      </w:r>
      <w:r>
        <w:rPr>
          <w:color w:val="202020"/>
        </w:rPr>
        <w:t>use,</w:t>
      </w:r>
      <w:r>
        <w:rPr>
          <w:color w:val="202020"/>
          <w:spacing w:val="-5"/>
        </w:rPr>
        <w:t> </w:t>
      </w:r>
      <w:r>
        <w:rPr>
          <w:color w:val="202020"/>
        </w:rPr>
        <w:t>whole</w:t>
      </w:r>
      <w:r>
        <w:rPr>
          <w:color w:val="202020"/>
          <w:spacing w:val="-6"/>
        </w:rPr>
        <w:t> </w:t>
      </w:r>
      <w:r>
        <w:rPr>
          <w:color w:val="202020"/>
        </w:rPr>
        <w:t>abdominal</w:t>
      </w:r>
      <w:r>
        <w:rPr>
          <w:color w:val="202020"/>
          <w:spacing w:val="-6"/>
        </w:rPr>
        <w:t> </w:t>
      </w:r>
      <w:r>
        <w:rPr>
          <w:color w:val="202020"/>
        </w:rPr>
        <w:t>CT</w:t>
      </w:r>
      <w:r>
        <w:rPr>
          <w:color w:val="202020"/>
          <w:spacing w:val="-9"/>
        </w:rPr>
        <w:t> </w:t>
      </w:r>
      <w:r>
        <w:rPr>
          <w:color w:val="202020"/>
        </w:rPr>
        <w:t>scan was</w:t>
      </w:r>
      <w:r>
        <w:rPr>
          <w:color w:val="202020"/>
          <w:spacing w:val="-8"/>
        </w:rPr>
        <w:t> </w:t>
      </w:r>
      <w:r>
        <w:rPr>
          <w:color w:val="202020"/>
        </w:rPr>
        <w:t>done</w:t>
      </w:r>
      <w:r>
        <w:rPr>
          <w:color w:val="202020"/>
          <w:spacing w:val="-7"/>
        </w:rPr>
        <w:t> </w:t>
      </w:r>
      <w:r>
        <w:rPr>
          <w:color w:val="202020"/>
        </w:rPr>
        <w:t>which</w:t>
      </w:r>
      <w:r>
        <w:rPr>
          <w:color w:val="202020"/>
          <w:spacing w:val="-9"/>
        </w:rPr>
        <w:t> </w:t>
      </w:r>
      <w:r>
        <w:rPr>
          <w:color w:val="202020"/>
        </w:rPr>
        <w:t>revealed</w:t>
      </w:r>
      <w:r>
        <w:rPr>
          <w:color w:val="202020"/>
          <w:spacing w:val="-9"/>
        </w:rPr>
        <w:t> </w:t>
      </w:r>
      <w:r>
        <w:rPr>
          <w:color w:val="202020"/>
        </w:rPr>
        <w:t>a</w:t>
      </w:r>
      <w:r>
        <w:rPr>
          <w:color w:val="202020"/>
          <w:spacing w:val="-13"/>
        </w:rPr>
        <w:t> </w:t>
      </w:r>
      <w:r>
        <w:rPr>
          <w:color w:val="202020"/>
        </w:rPr>
        <w:t>3.6</w:t>
      </w:r>
      <w:r>
        <w:rPr>
          <w:color w:val="202020"/>
          <w:spacing w:val="-10"/>
        </w:rPr>
        <w:t> </w:t>
      </w:r>
      <w:r>
        <w:rPr>
          <w:color w:val="202020"/>
        </w:rPr>
        <w:t>x</w:t>
      </w:r>
      <w:r>
        <w:rPr>
          <w:color w:val="202020"/>
          <w:spacing w:val="-9"/>
        </w:rPr>
        <w:t> </w:t>
      </w:r>
      <w:r>
        <w:rPr>
          <w:color w:val="202020"/>
        </w:rPr>
        <w:t>2.9</w:t>
      </w:r>
      <w:r>
        <w:rPr>
          <w:color w:val="202020"/>
          <w:spacing w:val="-10"/>
        </w:rPr>
        <w:t> </w:t>
      </w:r>
      <w:r>
        <w:rPr>
          <w:color w:val="202020"/>
        </w:rPr>
        <w:t>x</w:t>
      </w:r>
      <w:r>
        <w:rPr>
          <w:color w:val="202020"/>
          <w:spacing w:val="-7"/>
        </w:rPr>
        <w:t> </w:t>
      </w:r>
      <w:r>
        <w:rPr>
          <w:color w:val="202020"/>
        </w:rPr>
        <w:t>2.9</w:t>
      </w:r>
      <w:r>
        <w:rPr>
          <w:color w:val="202020"/>
          <w:spacing w:val="-10"/>
        </w:rPr>
        <w:t> </w:t>
      </w:r>
      <w:r>
        <w:rPr>
          <w:color w:val="202020"/>
        </w:rPr>
        <w:t>cm</w:t>
      </w:r>
      <w:r>
        <w:rPr>
          <w:color w:val="202020"/>
          <w:spacing w:val="-9"/>
        </w:rPr>
        <w:t> </w:t>
      </w:r>
      <w:r>
        <w:rPr>
          <w:color w:val="202020"/>
        </w:rPr>
        <w:t>well-defined</w:t>
      </w:r>
      <w:r>
        <w:rPr>
          <w:color w:val="202020"/>
          <w:spacing w:val="-8"/>
        </w:rPr>
        <w:t> </w:t>
      </w:r>
      <w:r>
        <w:rPr>
          <w:color w:val="202020"/>
        </w:rPr>
        <w:t>heterogeneously</w:t>
      </w:r>
      <w:r>
        <w:rPr>
          <w:color w:val="202020"/>
          <w:spacing w:val="-12"/>
        </w:rPr>
        <w:t> </w:t>
      </w:r>
      <w:r>
        <w:rPr>
          <w:color w:val="202020"/>
        </w:rPr>
        <w:t>enhancing</w:t>
      </w:r>
      <w:r>
        <w:rPr>
          <w:color w:val="202020"/>
          <w:spacing w:val="-6"/>
        </w:rPr>
        <w:t> </w:t>
      </w:r>
      <w:r>
        <w:rPr>
          <w:color w:val="202020"/>
        </w:rPr>
        <w:t>solid</w:t>
      </w:r>
      <w:r>
        <w:rPr>
          <w:color w:val="202020"/>
          <w:spacing w:val="-9"/>
        </w:rPr>
        <w:t> </w:t>
      </w:r>
      <w:r>
        <w:rPr>
          <w:color w:val="202020"/>
        </w:rPr>
        <w:t>mass on her left adrenal, with absolute wash out of 78%, and relative wash out of 54.9% which is suggestive of lipid-poor adenoma. Patient was then managed as a case of cortisol producing adrenal adenoma left and was scheduled for elective laparoscopic</w:t>
      </w:r>
      <w:r>
        <w:rPr>
          <w:color w:val="202020"/>
          <w:spacing w:val="-10"/>
        </w:rPr>
        <w:t> </w:t>
      </w:r>
      <w:r>
        <w:rPr>
          <w:color w:val="202020"/>
        </w:rPr>
        <w:t>adrenalectomy.</w:t>
      </w:r>
    </w:p>
    <w:p>
      <w:pPr>
        <w:pStyle w:val="BodyText"/>
      </w:pPr>
    </w:p>
    <w:p>
      <w:pPr>
        <w:pStyle w:val="BodyText"/>
        <w:spacing w:line="360" w:lineRule="auto" w:before="150"/>
        <w:ind w:left="100" w:right="173" w:firstLine="720"/>
        <w:jc w:val="both"/>
      </w:pPr>
      <w:r>
        <w:rPr>
          <w:color w:val="202020"/>
        </w:rPr>
        <w:t>In</w:t>
      </w:r>
      <w:r>
        <w:rPr>
          <w:color w:val="202020"/>
          <w:spacing w:val="-14"/>
        </w:rPr>
        <w:t> </w:t>
      </w:r>
      <w:r>
        <w:rPr>
          <w:color w:val="202020"/>
        </w:rPr>
        <w:t>the</w:t>
      </w:r>
      <w:r>
        <w:rPr>
          <w:color w:val="202020"/>
          <w:spacing w:val="-11"/>
        </w:rPr>
        <w:t> </w:t>
      </w:r>
      <w:r>
        <w:rPr>
          <w:color w:val="202020"/>
        </w:rPr>
        <w:t>interim,</w:t>
      </w:r>
      <w:r>
        <w:rPr>
          <w:color w:val="202020"/>
          <w:spacing w:val="-12"/>
        </w:rPr>
        <w:t> </w:t>
      </w:r>
      <w:r>
        <w:rPr>
          <w:color w:val="202020"/>
        </w:rPr>
        <w:t>the</w:t>
      </w:r>
      <w:r>
        <w:rPr>
          <w:color w:val="202020"/>
          <w:spacing w:val="-7"/>
        </w:rPr>
        <w:t> </w:t>
      </w:r>
      <w:r>
        <w:rPr>
          <w:color w:val="202020"/>
        </w:rPr>
        <w:t>patient</w:t>
      </w:r>
      <w:r>
        <w:rPr>
          <w:color w:val="202020"/>
          <w:spacing w:val="-12"/>
        </w:rPr>
        <w:t> </w:t>
      </w:r>
      <w:r>
        <w:rPr>
          <w:color w:val="202020"/>
        </w:rPr>
        <w:t>denied</w:t>
      </w:r>
      <w:r>
        <w:rPr>
          <w:color w:val="202020"/>
          <w:spacing w:val="-13"/>
        </w:rPr>
        <w:t> </w:t>
      </w:r>
      <w:r>
        <w:rPr>
          <w:color w:val="202020"/>
        </w:rPr>
        <w:t>abdominal</w:t>
      </w:r>
      <w:r>
        <w:rPr>
          <w:color w:val="202020"/>
          <w:spacing w:val="-12"/>
        </w:rPr>
        <w:t> </w:t>
      </w:r>
      <w:r>
        <w:rPr>
          <w:color w:val="202020"/>
        </w:rPr>
        <w:t>pain,</w:t>
      </w:r>
      <w:r>
        <w:rPr>
          <w:color w:val="202020"/>
          <w:spacing w:val="-8"/>
        </w:rPr>
        <w:t> </w:t>
      </w:r>
      <w:r>
        <w:rPr>
          <w:color w:val="202020"/>
        </w:rPr>
        <w:t>diarrhea,</w:t>
      </w:r>
      <w:r>
        <w:rPr>
          <w:color w:val="202020"/>
          <w:spacing w:val="-11"/>
        </w:rPr>
        <w:t> </w:t>
      </w:r>
      <w:r>
        <w:rPr>
          <w:color w:val="202020"/>
        </w:rPr>
        <w:t>constipation,</w:t>
      </w:r>
      <w:r>
        <w:rPr>
          <w:color w:val="202020"/>
          <w:spacing w:val="-12"/>
        </w:rPr>
        <w:t> </w:t>
      </w:r>
      <w:r>
        <w:rPr>
          <w:color w:val="202020"/>
        </w:rPr>
        <w:t>vomiting,</w:t>
      </w:r>
      <w:r>
        <w:rPr>
          <w:color w:val="202020"/>
          <w:spacing w:val="-13"/>
        </w:rPr>
        <w:t> </w:t>
      </w:r>
      <w:r>
        <w:rPr>
          <w:color w:val="202020"/>
        </w:rPr>
        <w:t>fever, night</w:t>
      </w:r>
      <w:r>
        <w:rPr>
          <w:color w:val="202020"/>
          <w:spacing w:val="-12"/>
        </w:rPr>
        <w:t> </w:t>
      </w:r>
      <w:r>
        <w:rPr>
          <w:color w:val="202020"/>
        </w:rPr>
        <w:t>sweats,</w:t>
      </w:r>
      <w:r>
        <w:rPr>
          <w:color w:val="202020"/>
          <w:spacing w:val="-12"/>
        </w:rPr>
        <w:t> </w:t>
      </w:r>
      <w:r>
        <w:rPr>
          <w:color w:val="202020"/>
        </w:rPr>
        <w:t>or</w:t>
      </w:r>
      <w:r>
        <w:rPr>
          <w:color w:val="202020"/>
          <w:spacing w:val="-11"/>
        </w:rPr>
        <w:t> </w:t>
      </w:r>
      <w:r>
        <w:rPr>
          <w:color w:val="202020"/>
        </w:rPr>
        <w:t>weight</w:t>
      </w:r>
      <w:r>
        <w:rPr>
          <w:color w:val="202020"/>
          <w:spacing w:val="-12"/>
        </w:rPr>
        <w:t> </w:t>
      </w:r>
      <w:r>
        <w:rPr>
          <w:color w:val="202020"/>
        </w:rPr>
        <w:t>loss.</w:t>
      </w:r>
      <w:r>
        <w:rPr>
          <w:color w:val="202020"/>
          <w:spacing w:val="-12"/>
        </w:rPr>
        <w:t> </w:t>
      </w:r>
      <w:r>
        <w:rPr>
          <w:color w:val="202020"/>
        </w:rPr>
        <w:t>Few</w:t>
      </w:r>
      <w:r>
        <w:rPr>
          <w:color w:val="202020"/>
          <w:spacing w:val="-13"/>
        </w:rPr>
        <w:t> </w:t>
      </w:r>
      <w:r>
        <w:rPr>
          <w:color w:val="202020"/>
        </w:rPr>
        <w:t>days</w:t>
      </w:r>
      <w:r>
        <w:rPr>
          <w:color w:val="202020"/>
          <w:spacing w:val="-11"/>
        </w:rPr>
        <w:t> </w:t>
      </w:r>
      <w:r>
        <w:rPr>
          <w:color w:val="202020"/>
        </w:rPr>
        <w:t>prior</w:t>
      </w:r>
      <w:r>
        <w:rPr>
          <w:color w:val="202020"/>
          <w:spacing w:val="-11"/>
        </w:rPr>
        <w:t> </w:t>
      </w:r>
      <w:r>
        <w:rPr>
          <w:color w:val="202020"/>
        </w:rPr>
        <w:t>to</w:t>
      </w:r>
      <w:r>
        <w:rPr>
          <w:color w:val="202020"/>
          <w:spacing w:val="-14"/>
        </w:rPr>
        <w:t> </w:t>
      </w:r>
      <w:r>
        <w:rPr>
          <w:color w:val="202020"/>
        </w:rPr>
        <w:t>the</w:t>
      </w:r>
      <w:r>
        <w:rPr>
          <w:color w:val="202020"/>
          <w:spacing w:val="-11"/>
        </w:rPr>
        <w:t> </w:t>
      </w:r>
      <w:r>
        <w:rPr>
          <w:color w:val="202020"/>
        </w:rPr>
        <w:t>scheduled</w:t>
      </w:r>
      <w:r>
        <w:rPr>
          <w:color w:val="202020"/>
          <w:spacing w:val="-12"/>
        </w:rPr>
        <w:t> </w:t>
      </w:r>
      <w:r>
        <w:rPr>
          <w:color w:val="202020"/>
        </w:rPr>
        <w:t>operation,</w:t>
      </w:r>
      <w:r>
        <w:rPr>
          <w:color w:val="202020"/>
          <w:spacing w:val="-7"/>
        </w:rPr>
        <w:t> </w:t>
      </w:r>
      <w:r>
        <w:rPr>
          <w:color w:val="202020"/>
        </w:rPr>
        <w:t>the</w:t>
      </w:r>
      <w:r>
        <w:rPr>
          <w:color w:val="202020"/>
          <w:spacing w:val="-11"/>
        </w:rPr>
        <w:t> </w:t>
      </w:r>
      <w:r>
        <w:rPr>
          <w:color w:val="202020"/>
        </w:rPr>
        <w:t>patient</w:t>
      </w:r>
      <w:r>
        <w:rPr>
          <w:color w:val="202020"/>
          <w:spacing w:val="-12"/>
        </w:rPr>
        <w:t> </w:t>
      </w:r>
      <w:r>
        <w:rPr>
          <w:color w:val="202020"/>
        </w:rPr>
        <w:t>suddenly</w:t>
      </w:r>
      <w:r>
        <w:rPr>
          <w:color w:val="202020"/>
          <w:spacing w:val="-11"/>
        </w:rPr>
        <w:t> </w:t>
      </w:r>
      <w:r>
        <w:rPr>
          <w:color w:val="202020"/>
        </w:rPr>
        <w:t>had</w:t>
      </w:r>
    </w:p>
    <w:p>
      <w:pPr>
        <w:spacing w:after="0" w:line="360" w:lineRule="auto"/>
        <w:jc w:val="both"/>
        <w:sectPr>
          <w:pgSz w:w="12240" w:h="15840"/>
          <w:pgMar w:top="1420" w:bottom="280" w:left="1340" w:right="1260"/>
        </w:sectPr>
      </w:pPr>
    </w:p>
    <w:p>
      <w:pPr>
        <w:pStyle w:val="BodyText"/>
        <w:spacing w:line="360" w:lineRule="auto" w:before="22"/>
        <w:ind w:left="100" w:right="176"/>
        <w:jc w:val="both"/>
      </w:pPr>
      <w:r>
        <w:rPr>
          <w:color w:val="202020"/>
        </w:rPr>
        <w:t>eight</w:t>
      </w:r>
      <w:r>
        <w:rPr>
          <w:color w:val="202020"/>
          <w:spacing w:val="-4"/>
        </w:rPr>
        <w:t> </w:t>
      </w:r>
      <w:r>
        <w:rPr>
          <w:color w:val="202020"/>
        </w:rPr>
        <w:t>episodes</w:t>
      </w:r>
      <w:r>
        <w:rPr>
          <w:color w:val="202020"/>
          <w:spacing w:val="-1"/>
        </w:rPr>
        <w:t> </w:t>
      </w:r>
      <w:r>
        <w:rPr>
          <w:color w:val="202020"/>
        </w:rPr>
        <w:t>of</w:t>
      </w:r>
      <w:r>
        <w:rPr>
          <w:color w:val="202020"/>
          <w:spacing w:val="-2"/>
        </w:rPr>
        <w:t> </w:t>
      </w:r>
      <w:r>
        <w:rPr>
          <w:color w:val="202020"/>
        </w:rPr>
        <w:t>hematochezia</w:t>
      </w:r>
      <w:r>
        <w:rPr>
          <w:color w:val="202020"/>
          <w:spacing w:val="-2"/>
        </w:rPr>
        <w:t> </w:t>
      </w:r>
      <w:r>
        <w:rPr>
          <w:color w:val="202020"/>
        </w:rPr>
        <w:t>with</w:t>
      </w:r>
      <w:r>
        <w:rPr>
          <w:color w:val="202020"/>
          <w:spacing w:val="-5"/>
        </w:rPr>
        <w:t> </w:t>
      </w:r>
      <w:r>
        <w:rPr>
          <w:color w:val="202020"/>
        </w:rPr>
        <w:t>an</w:t>
      </w:r>
      <w:r>
        <w:rPr>
          <w:color w:val="202020"/>
          <w:spacing w:val="-5"/>
        </w:rPr>
        <w:t> </w:t>
      </w:r>
      <w:r>
        <w:rPr>
          <w:color w:val="202020"/>
        </w:rPr>
        <w:t>estimated</w:t>
      </w:r>
      <w:r>
        <w:rPr>
          <w:color w:val="202020"/>
          <w:spacing w:val="-4"/>
        </w:rPr>
        <w:t> </w:t>
      </w:r>
      <w:r>
        <w:rPr>
          <w:color w:val="202020"/>
        </w:rPr>
        <w:t>cumulative</w:t>
      </w:r>
      <w:r>
        <w:rPr>
          <w:color w:val="202020"/>
          <w:spacing w:val="-2"/>
        </w:rPr>
        <w:t> </w:t>
      </w:r>
      <w:r>
        <w:rPr>
          <w:color w:val="202020"/>
        </w:rPr>
        <w:t>blood</w:t>
      </w:r>
      <w:r>
        <w:rPr>
          <w:color w:val="202020"/>
          <w:spacing w:val="-4"/>
        </w:rPr>
        <w:t> </w:t>
      </w:r>
      <w:r>
        <w:rPr>
          <w:color w:val="202020"/>
        </w:rPr>
        <w:t>loss</w:t>
      </w:r>
      <w:r>
        <w:rPr>
          <w:color w:val="202020"/>
          <w:spacing w:val="-2"/>
        </w:rPr>
        <w:t> </w:t>
      </w:r>
      <w:r>
        <w:rPr>
          <w:color w:val="202020"/>
        </w:rPr>
        <w:t>of</w:t>
      </w:r>
      <w:r>
        <w:rPr>
          <w:color w:val="202020"/>
          <w:spacing w:val="-2"/>
        </w:rPr>
        <w:t> </w:t>
      </w:r>
      <w:r>
        <w:rPr>
          <w:color w:val="202020"/>
        </w:rPr>
        <w:t>800cc.</w:t>
      </w:r>
      <w:r>
        <w:rPr>
          <w:color w:val="202020"/>
          <w:spacing w:val="-5"/>
        </w:rPr>
        <w:t> </w:t>
      </w:r>
      <w:r>
        <w:rPr>
          <w:color w:val="202020"/>
        </w:rPr>
        <w:t>She</w:t>
      </w:r>
      <w:r>
        <w:rPr>
          <w:color w:val="202020"/>
          <w:spacing w:val="-2"/>
        </w:rPr>
        <w:t> </w:t>
      </w:r>
      <w:r>
        <w:rPr>
          <w:color w:val="202020"/>
        </w:rPr>
        <w:t>was</w:t>
      </w:r>
      <w:r>
        <w:rPr>
          <w:color w:val="202020"/>
          <w:spacing w:val="-2"/>
        </w:rPr>
        <w:t> </w:t>
      </w:r>
      <w:r>
        <w:rPr>
          <w:color w:val="202020"/>
        </w:rPr>
        <w:t>then admitted and managed as a case of lower gastrointestinal bleeding. Patient is hypertensive, maintained on Losartan 50mg tab OD, non diabetic, with no prior history of PTB; and a non smoker, non alcoholic beverage drinker. On physical examination, the patient is awake, not in respiratory distress, with pale palpebral conjunctiva, normal blood pressure of 120/80, tachycardic at 105 beats per minute, and afebrile. On rectal examination, no external hemorrhoids, no fistula noted, with good sphincter tone. Upon withdrawal of tactating finger, fresh blood was</w:t>
      </w:r>
      <w:r>
        <w:rPr>
          <w:color w:val="202020"/>
          <w:spacing w:val="-2"/>
        </w:rPr>
        <w:t> </w:t>
      </w:r>
      <w:r>
        <w:rPr>
          <w:color w:val="202020"/>
        </w:rPr>
        <w:t>noted.</w:t>
      </w:r>
    </w:p>
    <w:p>
      <w:pPr>
        <w:pStyle w:val="BodyText"/>
      </w:pPr>
    </w:p>
    <w:p>
      <w:pPr>
        <w:pStyle w:val="BodyText"/>
        <w:spacing w:line="360" w:lineRule="auto" w:before="148"/>
        <w:ind w:left="100" w:right="180" w:firstLine="720"/>
        <w:jc w:val="both"/>
      </w:pPr>
      <w:r>
        <w:rPr>
          <w:color w:val="202020"/>
        </w:rPr>
        <w:t>Colonoscopy showed a semi-circumferential white based ulcer on the terminal ileum. (</w:t>
      </w:r>
      <w:r>
        <w:rPr>
          <w:i/>
          <w:color w:val="202020"/>
        </w:rPr>
        <w:t>Figure 1</w:t>
      </w:r>
      <w:r>
        <w:rPr>
          <w:color w:val="202020"/>
        </w:rPr>
        <w:t>) Biopsies were taken and submitted for histopathology revealing acute on chronic inflammation</w:t>
      </w:r>
      <w:r>
        <w:rPr>
          <w:color w:val="202020"/>
          <w:spacing w:val="-4"/>
        </w:rPr>
        <w:t> </w:t>
      </w:r>
      <w:r>
        <w:rPr>
          <w:color w:val="202020"/>
        </w:rPr>
        <w:t>with</w:t>
      </w:r>
      <w:r>
        <w:rPr>
          <w:color w:val="202020"/>
          <w:spacing w:val="-9"/>
        </w:rPr>
        <w:t> </w:t>
      </w:r>
      <w:r>
        <w:rPr>
          <w:color w:val="202020"/>
        </w:rPr>
        <w:t>suspicious</w:t>
      </w:r>
      <w:r>
        <w:rPr>
          <w:color w:val="202020"/>
          <w:spacing w:val="-6"/>
        </w:rPr>
        <w:t> </w:t>
      </w:r>
      <w:r>
        <w:rPr>
          <w:color w:val="202020"/>
        </w:rPr>
        <w:t>focus</w:t>
      </w:r>
      <w:r>
        <w:rPr>
          <w:color w:val="202020"/>
          <w:spacing w:val="-7"/>
        </w:rPr>
        <w:t> </w:t>
      </w:r>
      <w:r>
        <w:rPr>
          <w:color w:val="202020"/>
        </w:rPr>
        <w:t>of</w:t>
      </w:r>
      <w:r>
        <w:rPr>
          <w:color w:val="202020"/>
          <w:spacing w:val="-6"/>
        </w:rPr>
        <w:t> </w:t>
      </w:r>
      <w:r>
        <w:rPr>
          <w:color w:val="202020"/>
        </w:rPr>
        <w:t>granuloma</w:t>
      </w:r>
      <w:r>
        <w:rPr>
          <w:color w:val="202020"/>
          <w:spacing w:val="-3"/>
        </w:rPr>
        <w:t> </w:t>
      </w:r>
      <w:r>
        <w:rPr>
          <w:color w:val="202020"/>
        </w:rPr>
        <w:t>with</w:t>
      </w:r>
      <w:r>
        <w:rPr>
          <w:color w:val="202020"/>
          <w:spacing w:val="-8"/>
        </w:rPr>
        <w:t> </w:t>
      </w:r>
      <w:r>
        <w:rPr>
          <w:color w:val="202020"/>
        </w:rPr>
        <w:t>no</w:t>
      </w:r>
      <w:r>
        <w:rPr>
          <w:color w:val="202020"/>
          <w:spacing w:val="-9"/>
        </w:rPr>
        <w:t> </w:t>
      </w:r>
      <w:r>
        <w:rPr>
          <w:color w:val="202020"/>
        </w:rPr>
        <w:t>intact</w:t>
      </w:r>
      <w:r>
        <w:rPr>
          <w:color w:val="202020"/>
          <w:spacing w:val="-7"/>
        </w:rPr>
        <w:t> </w:t>
      </w:r>
      <w:r>
        <w:rPr>
          <w:color w:val="202020"/>
        </w:rPr>
        <w:t>ileal</w:t>
      </w:r>
      <w:r>
        <w:rPr>
          <w:color w:val="202020"/>
          <w:spacing w:val="-3"/>
        </w:rPr>
        <w:t> </w:t>
      </w:r>
      <w:r>
        <w:rPr>
          <w:color w:val="202020"/>
        </w:rPr>
        <w:t>mucosa</w:t>
      </w:r>
      <w:r>
        <w:rPr>
          <w:color w:val="202020"/>
          <w:spacing w:val="-8"/>
        </w:rPr>
        <w:t> </w:t>
      </w:r>
      <w:r>
        <w:rPr>
          <w:color w:val="202020"/>
        </w:rPr>
        <w:t>appreciated.</w:t>
      </w:r>
      <w:r>
        <w:rPr>
          <w:color w:val="202020"/>
          <w:spacing w:val="-4"/>
        </w:rPr>
        <w:t> </w:t>
      </w:r>
      <w:r>
        <w:rPr>
          <w:color w:val="202020"/>
        </w:rPr>
        <w:t>Tissue genexpert showed positive result for </w:t>
      </w:r>
      <w:r>
        <w:rPr>
          <w:i/>
          <w:color w:val="202020"/>
        </w:rPr>
        <w:t>M. tuberculosis </w:t>
      </w:r>
      <w:r>
        <w:rPr>
          <w:color w:val="202020"/>
        </w:rPr>
        <w:t>with no Rifampicin resistance. Patient was then started on category 1 anti-koch's</w:t>
      </w:r>
      <w:r>
        <w:rPr>
          <w:color w:val="202020"/>
          <w:spacing w:val="-3"/>
        </w:rPr>
        <w:t> </w:t>
      </w:r>
      <w:r>
        <w:rPr>
          <w:color w:val="202020"/>
        </w:rPr>
        <w:t>regimen.</w:t>
      </w:r>
    </w:p>
    <w:p>
      <w:pPr>
        <w:pStyle w:val="BodyText"/>
        <w:rPr>
          <w:sz w:val="20"/>
        </w:rPr>
      </w:pPr>
    </w:p>
    <w:p>
      <w:pPr>
        <w:pStyle w:val="BodyText"/>
        <w:spacing w:before="6"/>
        <w:rPr>
          <w:sz w:val="12"/>
        </w:rPr>
      </w:pPr>
      <w:r>
        <w:rPr/>
        <w:drawing>
          <wp:anchor distT="0" distB="0" distL="0" distR="0" allowOverlap="1" layoutInCell="1" locked="0" behindDoc="0" simplePos="0" relativeHeight="1">
            <wp:simplePos x="0" y="0"/>
            <wp:positionH relativeFrom="page">
              <wp:posOffset>1371600</wp:posOffset>
            </wp:positionH>
            <wp:positionV relativeFrom="paragraph">
              <wp:posOffset>121793</wp:posOffset>
            </wp:positionV>
            <wp:extent cx="5525290" cy="3648075"/>
            <wp:effectExtent l="0" t="0" r="0" b="0"/>
            <wp:wrapTopAndBottom/>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5525290" cy="3648075"/>
                    </a:xfrm>
                    <a:prstGeom prst="rect">
                      <a:avLst/>
                    </a:prstGeom>
                  </pic:spPr>
                </pic:pic>
              </a:graphicData>
            </a:graphic>
          </wp:anchor>
        </w:drawing>
      </w:r>
    </w:p>
    <w:p>
      <w:pPr>
        <w:pStyle w:val="BodyText"/>
        <w:spacing w:before="125"/>
        <w:ind w:left="1131"/>
      </w:pPr>
      <w:r>
        <w:rPr/>
        <w:t>Figure 1. Colonoscopy revealed multiple white based ulcers on the terminal ileum.</w:t>
      </w:r>
    </w:p>
    <w:p>
      <w:pPr>
        <w:spacing w:after="0"/>
        <w:sectPr>
          <w:pgSz w:w="12240" w:h="15840"/>
          <w:pgMar w:top="1420" w:bottom="280" w:left="1340" w:right="1260"/>
        </w:sectPr>
      </w:pPr>
    </w:p>
    <w:p>
      <w:pPr>
        <w:pStyle w:val="BodyText"/>
        <w:spacing w:line="360" w:lineRule="auto" w:before="22"/>
        <w:ind w:left="100" w:right="174" w:firstLine="720"/>
        <w:jc w:val="both"/>
        <w:rPr>
          <w:i/>
        </w:rPr>
      </w:pPr>
      <w:r>
        <w:rPr>
          <w:color w:val="1F2023"/>
        </w:rPr>
        <w:t>On the same admission, computed tomography of the whole abdomen with adrenal protocol</w:t>
      </w:r>
      <w:r>
        <w:rPr>
          <w:color w:val="1F2023"/>
          <w:spacing w:val="-8"/>
        </w:rPr>
        <w:t> </w:t>
      </w:r>
      <w:r>
        <w:rPr>
          <w:color w:val="1F2023"/>
        </w:rPr>
        <w:t>showed</w:t>
      </w:r>
      <w:r>
        <w:rPr>
          <w:color w:val="1F2023"/>
          <w:spacing w:val="-8"/>
        </w:rPr>
        <w:t> </w:t>
      </w:r>
      <w:r>
        <w:rPr>
          <w:color w:val="1F2023"/>
        </w:rPr>
        <w:t>a</w:t>
      </w:r>
      <w:r>
        <w:rPr>
          <w:color w:val="1F2023"/>
          <w:spacing w:val="-7"/>
        </w:rPr>
        <w:t> </w:t>
      </w:r>
      <w:r>
        <w:rPr>
          <w:color w:val="1F2023"/>
        </w:rPr>
        <w:t>well</w:t>
      </w:r>
      <w:r>
        <w:rPr>
          <w:color w:val="1F2023"/>
          <w:spacing w:val="-7"/>
        </w:rPr>
        <w:t> </w:t>
      </w:r>
      <w:r>
        <w:rPr>
          <w:color w:val="1F2023"/>
        </w:rPr>
        <w:t>defined</w:t>
      </w:r>
      <w:r>
        <w:rPr>
          <w:color w:val="1F2023"/>
          <w:spacing w:val="-8"/>
        </w:rPr>
        <w:t> </w:t>
      </w:r>
      <w:r>
        <w:rPr>
          <w:color w:val="1F2023"/>
        </w:rPr>
        <w:t>heterogeneously</w:t>
      </w:r>
      <w:r>
        <w:rPr>
          <w:color w:val="1F2023"/>
          <w:spacing w:val="-6"/>
        </w:rPr>
        <w:t> </w:t>
      </w:r>
      <w:r>
        <w:rPr>
          <w:color w:val="1F2023"/>
        </w:rPr>
        <w:t>enhancing</w:t>
      </w:r>
      <w:r>
        <w:rPr>
          <w:color w:val="1F2023"/>
          <w:spacing w:val="-6"/>
        </w:rPr>
        <w:t> </w:t>
      </w:r>
      <w:r>
        <w:rPr>
          <w:color w:val="1F2023"/>
        </w:rPr>
        <w:t>soft</w:t>
      </w:r>
      <w:r>
        <w:rPr>
          <w:color w:val="1F2023"/>
          <w:spacing w:val="-8"/>
        </w:rPr>
        <w:t> </w:t>
      </w:r>
      <w:r>
        <w:rPr>
          <w:color w:val="1F2023"/>
        </w:rPr>
        <w:t>tissue</w:t>
      </w:r>
      <w:r>
        <w:rPr>
          <w:color w:val="1F2023"/>
          <w:spacing w:val="-7"/>
        </w:rPr>
        <w:t> </w:t>
      </w:r>
      <w:r>
        <w:rPr>
          <w:color w:val="1F2023"/>
        </w:rPr>
        <w:t>mass</w:t>
      </w:r>
      <w:r>
        <w:rPr>
          <w:color w:val="1F2023"/>
          <w:spacing w:val="-6"/>
        </w:rPr>
        <w:t> </w:t>
      </w:r>
      <w:r>
        <w:rPr>
          <w:color w:val="1F2023"/>
        </w:rPr>
        <w:t>density</w:t>
      </w:r>
      <w:r>
        <w:rPr>
          <w:color w:val="1F2023"/>
          <w:spacing w:val="-7"/>
        </w:rPr>
        <w:t> </w:t>
      </w:r>
      <w:r>
        <w:rPr>
          <w:color w:val="1F2023"/>
        </w:rPr>
        <w:t>arising</w:t>
      </w:r>
      <w:r>
        <w:rPr>
          <w:color w:val="1F2023"/>
          <w:spacing w:val="-10"/>
        </w:rPr>
        <w:t> </w:t>
      </w:r>
      <w:r>
        <w:rPr>
          <w:color w:val="1F2023"/>
        </w:rPr>
        <w:t>from the left adrenal gland measuring about 3.9 x2.6 x2.9 cm (LXWXAP). The said mass contains internal hypodensities and calcifications with absolute and relative washout of about 67% and 54% respectively, for which a hyperfunctioning adrenal mass </w:t>
      </w:r>
      <w:r>
        <w:rPr>
          <w:color w:val="1F2023"/>
          <w:spacing w:val="-3"/>
        </w:rPr>
        <w:t>is </w:t>
      </w:r>
      <w:r>
        <w:rPr>
          <w:color w:val="1F2023"/>
        </w:rPr>
        <w:t>considered. Laparoscopic adrenalectomy </w:t>
      </w:r>
      <w:r>
        <w:rPr>
          <w:i/>
          <w:color w:val="1F2023"/>
        </w:rPr>
        <w:t>(Figure 2) </w:t>
      </w:r>
      <w:r>
        <w:rPr>
          <w:color w:val="1F2023"/>
        </w:rPr>
        <w:t>of the left adrenal gland was performed and a specimen was sent for histopathology. Results revealed adrenal cortical adenoma, consisting of a fairly pyramidal, brown</w:t>
      </w:r>
      <w:r>
        <w:rPr>
          <w:color w:val="1F2023"/>
          <w:spacing w:val="3"/>
        </w:rPr>
        <w:t> </w:t>
      </w:r>
      <w:r>
        <w:rPr>
          <w:color w:val="1F2023"/>
        </w:rPr>
        <w:t>to</w:t>
      </w:r>
      <w:r>
        <w:rPr>
          <w:color w:val="1F2023"/>
          <w:spacing w:val="7"/>
        </w:rPr>
        <w:t> </w:t>
      </w:r>
      <w:r>
        <w:rPr>
          <w:color w:val="1F2023"/>
        </w:rPr>
        <w:t>orange,</w:t>
      </w:r>
      <w:r>
        <w:rPr>
          <w:color w:val="1F2023"/>
          <w:spacing w:val="5"/>
        </w:rPr>
        <w:t> </w:t>
      </w:r>
      <w:r>
        <w:rPr>
          <w:color w:val="1F2023"/>
        </w:rPr>
        <w:t>doughy</w:t>
      </w:r>
      <w:r>
        <w:rPr>
          <w:color w:val="1F2023"/>
          <w:spacing w:val="5"/>
        </w:rPr>
        <w:t> </w:t>
      </w:r>
      <w:r>
        <w:rPr>
          <w:color w:val="1F2023"/>
        </w:rPr>
        <w:t>tissue,</w:t>
      </w:r>
      <w:r>
        <w:rPr>
          <w:color w:val="1F2023"/>
          <w:spacing w:val="5"/>
        </w:rPr>
        <w:t> </w:t>
      </w:r>
      <w:r>
        <w:rPr>
          <w:color w:val="1F2023"/>
        </w:rPr>
        <w:t>measuring</w:t>
      </w:r>
      <w:r>
        <w:rPr>
          <w:color w:val="1F2023"/>
          <w:spacing w:val="6"/>
        </w:rPr>
        <w:t> </w:t>
      </w:r>
      <w:r>
        <w:rPr>
          <w:color w:val="1F2023"/>
        </w:rPr>
        <w:t>4.5</w:t>
      </w:r>
      <w:r>
        <w:rPr>
          <w:color w:val="1F2023"/>
          <w:spacing w:val="7"/>
        </w:rPr>
        <w:t> </w:t>
      </w:r>
      <w:r>
        <w:rPr>
          <w:color w:val="1F2023"/>
        </w:rPr>
        <w:t>x</w:t>
      </w:r>
      <w:r>
        <w:rPr>
          <w:color w:val="1F2023"/>
          <w:spacing w:val="5"/>
        </w:rPr>
        <w:t> </w:t>
      </w:r>
      <w:r>
        <w:rPr>
          <w:color w:val="1F2023"/>
        </w:rPr>
        <w:t>3.0</w:t>
      </w:r>
      <w:r>
        <w:rPr>
          <w:color w:val="1F2023"/>
          <w:spacing w:val="2"/>
        </w:rPr>
        <w:t> </w:t>
      </w:r>
      <w:r>
        <w:rPr>
          <w:color w:val="1F2023"/>
        </w:rPr>
        <w:t>x</w:t>
      </w:r>
      <w:r>
        <w:rPr>
          <w:color w:val="1F2023"/>
          <w:spacing w:val="5"/>
        </w:rPr>
        <w:t> </w:t>
      </w:r>
      <w:r>
        <w:rPr>
          <w:color w:val="1F2023"/>
        </w:rPr>
        <w:t>2.5</w:t>
      </w:r>
      <w:r>
        <w:rPr>
          <w:color w:val="1F2023"/>
          <w:spacing w:val="7"/>
        </w:rPr>
        <w:t> </w:t>
      </w:r>
      <w:r>
        <w:rPr>
          <w:color w:val="1F2023"/>
        </w:rPr>
        <w:t>cm</w:t>
      </w:r>
      <w:r>
        <w:rPr>
          <w:color w:val="1F2023"/>
          <w:spacing w:val="2"/>
        </w:rPr>
        <w:t> </w:t>
      </w:r>
      <w:r>
        <w:rPr>
          <w:color w:val="1F2023"/>
        </w:rPr>
        <w:t>and</w:t>
      </w:r>
      <w:r>
        <w:rPr>
          <w:color w:val="1F2023"/>
          <w:spacing w:val="3"/>
        </w:rPr>
        <w:t> </w:t>
      </w:r>
      <w:r>
        <w:rPr>
          <w:color w:val="1F2023"/>
        </w:rPr>
        <w:t>weighing</w:t>
      </w:r>
      <w:r>
        <w:rPr>
          <w:color w:val="1F2023"/>
          <w:spacing w:val="6"/>
        </w:rPr>
        <w:t> </w:t>
      </w:r>
      <w:r>
        <w:rPr>
          <w:color w:val="1F2023"/>
        </w:rPr>
        <w:t>50.0</w:t>
      </w:r>
      <w:r>
        <w:rPr>
          <w:color w:val="1F2023"/>
          <w:spacing w:val="2"/>
        </w:rPr>
        <w:t> </w:t>
      </w:r>
      <w:r>
        <w:rPr>
          <w:color w:val="1F2023"/>
        </w:rPr>
        <w:t>grams.</w:t>
      </w:r>
      <w:r>
        <w:rPr>
          <w:color w:val="1F2023"/>
          <w:spacing w:val="3"/>
        </w:rPr>
        <w:t> </w:t>
      </w:r>
      <w:r>
        <w:rPr>
          <w:color w:val="1F2023"/>
        </w:rPr>
        <w:t>(</w:t>
      </w:r>
      <w:r>
        <w:rPr>
          <w:i/>
          <w:color w:val="1F2023"/>
        </w:rPr>
        <w:t>Figure</w:t>
      </w:r>
    </w:p>
    <w:p>
      <w:pPr>
        <w:pStyle w:val="BodyText"/>
        <w:spacing w:line="360" w:lineRule="auto"/>
        <w:ind w:left="100" w:right="175"/>
        <w:jc w:val="both"/>
      </w:pPr>
      <w:r>
        <w:rPr>
          <w:i/>
          <w:color w:val="1F2023"/>
        </w:rPr>
        <w:t>3) </w:t>
      </w:r>
      <w:r>
        <w:rPr>
          <w:color w:val="1F2023"/>
        </w:rPr>
        <w:t>Microscopic sections showed features of adrenal cortical adenoma characterized by a well- encapsulated benign tumor composed of sheets of cells in an organoid pattern. The individual cells show relatively monomorphic, centrally located, round, bland nuclei and clear, vacuolated cytoplasm with well-defined borders. No evidence of malignancy is seen in the sections examined.</w:t>
      </w:r>
    </w:p>
    <w:p>
      <w:pPr>
        <w:pStyle w:val="BodyText"/>
        <w:rPr>
          <w:sz w:val="20"/>
        </w:rPr>
      </w:pPr>
    </w:p>
    <w:p>
      <w:pPr>
        <w:pStyle w:val="BodyText"/>
        <w:spacing w:before="7"/>
        <w:rPr>
          <w:sz w:val="12"/>
        </w:rPr>
      </w:pPr>
      <w:r>
        <w:rPr/>
        <w:drawing>
          <wp:anchor distT="0" distB="0" distL="0" distR="0" allowOverlap="1" layoutInCell="1" locked="0" behindDoc="0" simplePos="0" relativeHeight="2">
            <wp:simplePos x="0" y="0"/>
            <wp:positionH relativeFrom="page">
              <wp:posOffset>2156079</wp:posOffset>
            </wp:positionH>
            <wp:positionV relativeFrom="paragraph">
              <wp:posOffset>122662</wp:posOffset>
            </wp:positionV>
            <wp:extent cx="3457473" cy="2576512"/>
            <wp:effectExtent l="0" t="0" r="0" b="0"/>
            <wp:wrapTopAndBottom/>
            <wp:docPr id="3" name="image2.jpeg"/>
            <wp:cNvGraphicFramePr>
              <a:graphicFrameLocks noChangeAspect="1"/>
            </wp:cNvGraphicFramePr>
            <a:graphic>
              <a:graphicData uri="http://schemas.openxmlformats.org/drawingml/2006/picture">
                <pic:pic>
                  <pic:nvPicPr>
                    <pic:cNvPr id="4" name="image2.jpeg"/>
                    <pic:cNvPicPr/>
                  </pic:nvPicPr>
                  <pic:blipFill>
                    <a:blip r:embed="rId6" cstate="print"/>
                    <a:stretch>
                      <a:fillRect/>
                    </a:stretch>
                  </pic:blipFill>
                  <pic:spPr>
                    <a:xfrm>
                      <a:off x="0" y="0"/>
                      <a:ext cx="3457473" cy="2576512"/>
                    </a:xfrm>
                    <a:prstGeom prst="rect">
                      <a:avLst/>
                    </a:prstGeom>
                  </pic:spPr>
                </pic:pic>
              </a:graphicData>
            </a:graphic>
          </wp:anchor>
        </w:drawing>
      </w:r>
    </w:p>
    <w:p>
      <w:pPr>
        <w:pStyle w:val="BodyText"/>
        <w:spacing w:before="126"/>
        <w:ind w:left="1007" w:right="1090"/>
        <w:jc w:val="center"/>
      </w:pPr>
      <w:r>
        <w:rPr/>
        <w:t>Figure 2. Intraoperative laparoscopic adrenalectomy</w:t>
      </w:r>
    </w:p>
    <w:p>
      <w:pPr>
        <w:spacing w:after="0"/>
        <w:jc w:val="center"/>
        <w:sectPr>
          <w:pgSz w:w="12240" w:h="15840"/>
          <w:pgMar w:top="1420" w:bottom="280" w:left="1340" w:right="1260"/>
        </w:sectPr>
      </w:pPr>
    </w:p>
    <w:p>
      <w:pPr>
        <w:pStyle w:val="BodyText"/>
        <w:ind w:left="2470"/>
        <w:rPr>
          <w:sz w:val="20"/>
        </w:rPr>
      </w:pPr>
      <w:r>
        <w:rPr>
          <w:sz w:val="20"/>
        </w:rPr>
        <w:drawing>
          <wp:inline distT="0" distB="0" distL="0" distR="0">
            <wp:extent cx="2930525" cy="2747962"/>
            <wp:effectExtent l="0" t="0" r="0" b="0"/>
            <wp:docPr id="5" name="image3.jpeg"/>
            <wp:cNvGraphicFramePr>
              <a:graphicFrameLocks noChangeAspect="1"/>
            </wp:cNvGraphicFramePr>
            <a:graphic>
              <a:graphicData uri="http://schemas.openxmlformats.org/drawingml/2006/picture">
                <pic:pic>
                  <pic:nvPicPr>
                    <pic:cNvPr id="6" name="image3.jpeg"/>
                    <pic:cNvPicPr/>
                  </pic:nvPicPr>
                  <pic:blipFill>
                    <a:blip r:embed="rId7" cstate="print"/>
                    <a:stretch>
                      <a:fillRect/>
                    </a:stretch>
                  </pic:blipFill>
                  <pic:spPr>
                    <a:xfrm>
                      <a:off x="0" y="0"/>
                      <a:ext cx="2930525" cy="2747962"/>
                    </a:xfrm>
                    <a:prstGeom prst="rect">
                      <a:avLst/>
                    </a:prstGeom>
                  </pic:spPr>
                </pic:pic>
              </a:graphicData>
            </a:graphic>
          </wp:inline>
        </w:drawing>
      </w:r>
      <w:r>
        <w:rPr>
          <w:sz w:val="20"/>
        </w:rPr>
      </w:r>
    </w:p>
    <w:p>
      <w:pPr>
        <w:pStyle w:val="BodyText"/>
        <w:spacing w:before="6"/>
        <w:rPr>
          <w:sz w:val="8"/>
        </w:rPr>
      </w:pPr>
    </w:p>
    <w:p>
      <w:pPr>
        <w:pStyle w:val="BodyText"/>
        <w:spacing w:before="52"/>
        <w:ind w:left="1007" w:right="1081"/>
        <w:jc w:val="center"/>
      </w:pPr>
      <w:r>
        <w:rPr/>
        <w:t>Figure 3. Adrenal gland left</w:t>
      </w:r>
    </w:p>
    <w:p>
      <w:pPr>
        <w:pStyle w:val="BodyText"/>
        <w:spacing w:before="8"/>
        <w:rPr>
          <w:sz w:val="31"/>
        </w:rPr>
      </w:pPr>
    </w:p>
    <w:p>
      <w:pPr>
        <w:pStyle w:val="Heading1"/>
        <w:spacing w:before="0"/>
      </w:pPr>
      <w:r>
        <w:rPr/>
        <w:t>DISCUSSION</w:t>
      </w:r>
    </w:p>
    <w:p>
      <w:pPr>
        <w:pStyle w:val="BodyText"/>
        <w:spacing w:before="143"/>
        <w:ind w:left="821"/>
        <w:jc w:val="both"/>
      </w:pPr>
      <w:r>
        <w:rPr/>
        <w:t>Gastrointestinal (GI) tuberculosis (TB) accounts for 1% to 3 % of all TB cases worldwide.</w:t>
      </w:r>
    </w:p>
    <w:p>
      <w:pPr>
        <w:pStyle w:val="BodyText"/>
        <w:spacing w:line="360" w:lineRule="auto" w:before="147"/>
        <w:ind w:left="100" w:right="172"/>
        <w:jc w:val="both"/>
      </w:pPr>
      <w:r>
        <w:rPr/>
        <w:t>(5) It can occur in the setting of active pulmonary TB but can also present as a primary infection even without pulmonary affectation. The most common site of intestinal TB is the ileocecal region but it can involve any part of the GI tract. (6) The propensity of the said segments for GI TB is a combination of factors such as having a narrow lumen, low digestive activity, increased physiologic stasis, and the presence of M cells in the lymphatic tissue that can take up the tubercle bacilli. (7)</w:t>
      </w:r>
    </w:p>
    <w:p>
      <w:pPr>
        <w:pStyle w:val="BodyText"/>
      </w:pPr>
    </w:p>
    <w:p>
      <w:pPr>
        <w:pStyle w:val="BodyText"/>
        <w:spacing w:line="360" w:lineRule="auto" w:before="151"/>
        <w:ind w:left="100" w:right="169" w:firstLine="720"/>
        <w:jc w:val="both"/>
      </w:pPr>
      <w:r>
        <w:rPr/>
        <w:t>Well-established risk factors in the development of active TB infection include malnutrition, human immunodeficiency virus infection, and young age. There are also emerging variables</w:t>
      </w:r>
      <w:r>
        <w:rPr>
          <w:spacing w:val="-8"/>
        </w:rPr>
        <w:t> </w:t>
      </w:r>
      <w:r>
        <w:rPr/>
        <w:t>identified</w:t>
      </w:r>
      <w:r>
        <w:rPr>
          <w:spacing w:val="-14"/>
        </w:rPr>
        <w:t> </w:t>
      </w:r>
      <w:r>
        <w:rPr/>
        <w:t>such</w:t>
      </w:r>
      <w:r>
        <w:rPr>
          <w:spacing w:val="-9"/>
        </w:rPr>
        <w:t> </w:t>
      </w:r>
      <w:r>
        <w:rPr/>
        <w:t>as</w:t>
      </w:r>
      <w:r>
        <w:rPr>
          <w:spacing w:val="-8"/>
        </w:rPr>
        <w:t> </w:t>
      </w:r>
      <w:r>
        <w:rPr/>
        <w:t>diabetes,</w:t>
      </w:r>
      <w:r>
        <w:rPr>
          <w:spacing w:val="-13"/>
        </w:rPr>
        <w:t> </w:t>
      </w:r>
      <w:r>
        <w:rPr/>
        <w:t>indoor</w:t>
      </w:r>
      <w:r>
        <w:rPr>
          <w:spacing w:val="-8"/>
        </w:rPr>
        <w:t> </w:t>
      </w:r>
      <w:r>
        <w:rPr/>
        <w:t>air</w:t>
      </w:r>
      <w:r>
        <w:rPr>
          <w:spacing w:val="-8"/>
        </w:rPr>
        <w:t> </w:t>
      </w:r>
      <w:r>
        <w:rPr/>
        <w:t>pollution,</w:t>
      </w:r>
      <w:r>
        <w:rPr>
          <w:spacing w:val="-9"/>
        </w:rPr>
        <w:t> </w:t>
      </w:r>
      <w:r>
        <w:rPr/>
        <w:t>smoking,</w:t>
      </w:r>
      <w:r>
        <w:rPr>
          <w:spacing w:val="-8"/>
        </w:rPr>
        <w:t> </w:t>
      </w:r>
      <w:r>
        <w:rPr/>
        <w:t>and</w:t>
      </w:r>
      <w:r>
        <w:rPr>
          <w:spacing w:val="-10"/>
        </w:rPr>
        <w:t> </w:t>
      </w:r>
      <w:r>
        <w:rPr/>
        <w:t>alcohol.</w:t>
      </w:r>
      <w:r>
        <w:rPr>
          <w:spacing w:val="-9"/>
        </w:rPr>
        <w:t> </w:t>
      </w:r>
      <w:r>
        <w:rPr/>
        <w:t>(8)</w:t>
      </w:r>
      <w:r>
        <w:rPr>
          <w:spacing w:val="-7"/>
        </w:rPr>
        <w:t> </w:t>
      </w:r>
      <w:r>
        <w:rPr/>
        <w:t>Another</w:t>
      </w:r>
      <w:r>
        <w:rPr>
          <w:spacing w:val="-6"/>
        </w:rPr>
        <w:t> </w:t>
      </w:r>
      <w:r>
        <w:rPr/>
        <w:t>well- known risk factor for developing active TB infection is immunosuppression. Prolonged glucocorticoid therapy is associated with an increased risk of tuberculosis. These individuals include</w:t>
      </w:r>
      <w:r>
        <w:rPr>
          <w:spacing w:val="-7"/>
        </w:rPr>
        <w:t> </w:t>
      </w:r>
      <w:r>
        <w:rPr/>
        <w:t>solid</w:t>
      </w:r>
      <w:r>
        <w:rPr>
          <w:spacing w:val="-9"/>
        </w:rPr>
        <w:t> </w:t>
      </w:r>
      <w:r>
        <w:rPr/>
        <w:t>organ</w:t>
      </w:r>
      <w:r>
        <w:rPr>
          <w:spacing w:val="-9"/>
        </w:rPr>
        <w:t> </w:t>
      </w:r>
      <w:r>
        <w:rPr/>
        <w:t>recipients,</w:t>
      </w:r>
      <w:r>
        <w:rPr>
          <w:spacing w:val="-8"/>
        </w:rPr>
        <w:t> </w:t>
      </w:r>
      <w:r>
        <w:rPr/>
        <w:t>hematopoietic</w:t>
      </w:r>
      <w:r>
        <w:rPr>
          <w:spacing w:val="-9"/>
        </w:rPr>
        <w:t> </w:t>
      </w:r>
      <w:r>
        <w:rPr/>
        <w:t>stem</w:t>
      </w:r>
      <w:r>
        <w:rPr>
          <w:spacing w:val="-9"/>
        </w:rPr>
        <w:t> </w:t>
      </w:r>
      <w:r>
        <w:rPr/>
        <w:t>cell</w:t>
      </w:r>
      <w:r>
        <w:rPr>
          <w:spacing w:val="-7"/>
        </w:rPr>
        <w:t> </w:t>
      </w:r>
      <w:r>
        <w:rPr/>
        <w:t>transplant</w:t>
      </w:r>
      <w:r>
        <w:rPr>
          <w:spacing w:val="-8"/>
        </w:rPr>
        <w:t> </w:t>
      </w:r>
      <w:r>
        <w:rPr/>
        <w:t>recipients,</w:t>
      </w:r>
      <w:r>
        <w:rPr>
          <w:spacing w:val="-7"/>
        </w:rPr>
        <w:t> </w:t>
      </w:r>
      <w:r>
        <w:rPr/>
        <w:t>patients</w:t>
      </w:r>
      <w:r>
        <w:rPr>
          <w:spacing w:val="-7"/>
        </w:rPr>
        <w:t> </w:t>
      </w:r>
      <w:r>
        <w:rPr/>
        <w:t>on</w:t>
      </w:r>
      <w:r>
        <w:rPr>
          <w:spacing w:val="-9"/>
        </w:rPr>
        <w:t> </w:t>
      </w:r>
      <w:r>
        <w:rPr/>
        <w:t>biologic therapies, and patients undergoing chronic corticotherapy. (9) According to the joint statement of</w:t>
      </w:r>
      <w:r>
        <w:rPr>
          <w:spacing w:val="-12"/>
        </w:rPr>
        <w:t> </w:t>
      </w:r>
      <w:r>
        <w:rPr/>
        <w:t>American</w:t>
      </w:r>
      <w:r>
        <w:rPr>
          <w:spacing w:val="-14"/>
        </w:rPr>
        <w:t> </w:t>
      </w:r>
      <w:r>
        <w:rPr/>
        <w:t>Thoracic</w:t>
      </w:r>
      <w:r>
        <w:rPr>
          <w:spacing w:val="-13"/>
        </w:rPr>
        <w:t> </w:t>
      </w:r>
      <w:r>
        <w:rPr/>
        <w:t>Society</w:t>
      </w:r>
      <w:r>
        <w:rPr>
          <w:spacing w:val="-13"/>
        </w:rPr>
        <w:t> </w:t>
      </w:r>
      <w:r>
        <w:rPr/>
        <w:t>and</w:t>
      </w:r>
      <w:r>
        <w:rPr>
          <w:spacing w:val="-14"/>
        </w:rPr>
        <w:t> </w:t>
      </w:r>
      <w:r>
        <w:rPr/>
        <w:t>Centers</w:t>
      </w:r>
      <w:r>
        <w:rPr>
          <w:spacing w:val="-12"/>
        </w:rPr>
        <w:t> </w:t>
      </w:r>
      <w:r>
        <w:rPr/>
        <w:t>for</w:t>
      </w:r>
      <w:r>
        <w:rPr>
          <w:spacing w:val="-12"/>
        </w:rPr>
        <w:t> </w:t>
      </w:r>
      <w:r>
        <w:rPr/>
        <w:t>Disease</w:t>
      </w:r>
      <w:r>
        <w:rPr>
          <w:spacing w:val="-16"/>
        </w:rPr>
        <w:t> </w:t>
      </w:r>
      <w:r>
        <w:rPr/>
        <w:t>Control</w:t>
      </w:r>
      <w:r>
        <w:rPr>
          <w:spacing w:val="-10"/>
        </w:rPr>
        <w:t> </w:t>
      </w:r>
      <w:r>
        <w:rPr/>
        <w:t>and</w:t>
      </w:r>
      <w:r>
        <w:rPr>
          <w:spacing w:val="-14"/>
        </w:rPr>
        <w:t> </w:t>
      </w:r>
      <w:r>
        <w:rPr/>
        <w:t>Prevention</w:t>
      </w:r>
      <w:r>
        <w:rPr>
          <w:spacing w:val="-14"/>
        </w:rPr>
        <w:t> </w:t>
      </w:r>
      <w:r>
        <w:rPr/>
        <w:t>(CDC),</w:t>
      </w:r>
      <w:r>
        <w:rPr>
          <w:spacing w:val="-13"/>
        </w:rPr>
        <w:t> </w:t>
      </w:r>
      <w:r>
        <w:rPr/>
        <w:t>a</w:t>
      </w:r>
      <w:r>
        <w:rPr>
          <w:spacing w:val="-13"/>
        </w:rPr>
        <w:t> </w:t>
      </w:r>
      <w:r>
        <w:rPr/>
        <w:t>prednisone of</w:t>
      </w:r>
      <w:r>
        <w:rPr>
          <w:spacing w:val="-11"/>
        </w:rPr>
        <w:t> </w:t>
      </w:r>
      <w:r>
        <w:rPr/>
        <w:t>&gt;15mg/day</w:t>
      </w:r>
      <w:r>
        <w:rPr>
          <w:spacing w:val="-11"/>
        </w:rPr>
        <w:t> </w:t>
      </w:r>
      <w:r>
        <w:rPr/>
        <w:t>(or</w:t>
      </w:r>
      <w:r>
        <w:rPr>
          <w:spacing w:val="-12"/>
        </w:rPr>
        <w:t> </w:t>
      </w:r>
      <w:r>
        <w:rPr/>
        <w:t>its</w:t>
      </w:r>
      <w:r>
        <w:rPr>
          <w:spacing w:val="-11"/>
        </w:rPr>
        <w:t> </w:t>
      </w:r>
      <w:r>
        <w:rPr/>
        <w:t>equivalent)</w:t>
      </w:r>
      <w:r>
        <w:rPr>
          <w:spacing w:val="-11"/>
        </w:rPr>
        <w:t> </w:t>
      </w:r>
      <w:r>
        <w:rPr/>
        <w:t>administered</w:t>
      </w:r>
      <w:r>
        <w:rPr>
          <w:spacing w:val="-17"/>
        </w:rPr>
        <w:t> </w:t>
      </w:r>
      <w:r>
        <w:rPr/>
        <w:t>for</w:t>
      </w:r>
      <w:r>
        <w:rPr>
          <w:spacing w:val="-11"/>
        </w:rPr>
        <w:t> </w:t>
      </w:r>
      <w:r>
        <w:rPr/>
        <w:t>at</w:t>
      </w:r>
      <w:r>
        <w:rPr>
          <w:spacing w:val="-13"/>
        </w:rPr>
        <w:t> </w:t>
      </w:r>
      <w:r>
        <w:rPr/>
        <w:t>least</w:t>
      </w:r>
      <w:r>
        <w:rPr>
          <w:spacing w:val="-12"/>
        </w:rPr>
        <w:t> </w:t>
      </w:r>
      <w:r>
        <w:rPr/>
        <w:t>1</w:t>
      </w:r>
      <w:r>
        <w:rPr>
          <w:spacing w:val="-13"/>
        </w:rPr>
        <w:t> </w:t>
      </w:r>
      <w:r>
        <w:rPr/>
        <w:t>month</w:t>
      </w:r>
      <w:r>
        <w:rPr>
          <w:spacing w:val="-14"/>
        </w:rPr>
        <w:t> </w:t>
      </w:r>
      <w:r>
        <w:rPr/>
        <w:t>is</w:t>
      </w:r>
      <w:r>
        <w:rPr>
          <w:spacing w:val="-11"/>
        </w:rPr>
        <w:t> </w:t>
      </w:r>
      <w:r>
        <w:rPr/>
        <w:t>a</w:t>
      </w:r>
      <w:r>
        <w:rPr>
          <w:spacing w:val="-13"/>
        </w:rPr>
        <w:t> </w:t>
      </w:r>
      <w:r>
        <w:rPr/>
        <w:t>risk</w:t>
      </w:r>
      <w:r>
        <w:rPr>
          <w:spacing w:val="-11"/>
        </w:rPr>
        <w:t> </w:t>
      </w:r>
      <w:r>
        <w:rPr/>
        <w:t>factor</w:t>
      </w:r>
      <w:r>
        <w:rPr>
          <w:spacing w:val="-11"/>
        </w:rPr>
        <w:t> </w:t>
      </w:r>
      <w:r>
        <w:rPr/>
        <w:t>for</w:t>
      </w:r>
      <w:r>
        <w:rPr>
          <w:spacing w:val="-12"/>
        </w:rPr>
        <w:t> </w:t>
      </w:r>
      <w:r>
        <w:rPr/>
        <w:t>tuberculosis.</w:t>
      </w:r>
    </w:p>
    <w:p>
      <w:pPr>
        <w:spacing w:after="0" w:line="360" w:lineRule="auto"/>
        <w:jc w:val="both"/>
        <w:sectPr>
          <w:pgSz w:w="12240" w:h="15840"/>
          <w:pgMar w:top="1440" w:bottom="280" w:left="1340" w:right="1260"/>
        </w:sectPr>
      </w:pPr>
    </w:p>
    <w:p>
      <w:pPr>
        <w:pStyle w:val="BodyText"/>
        <w:spacing w:line="360" w:lineRule="auto" w:before="22"/>
        <w:ind w:left="100" w:right="171"/>
        <w:jc w:val="both"/>
      </w:pPr>
      <w:r>
        <w:rPr/>
        <w:t>(10)</w:t>
      </w:r>
      <w:r>
        <w:rPr>
          <w:spacing w:val="-12"/>
        </w:rPr>
        <w:t> </w:t>
      </w:r>
      <w:r>
        <w:rPr>
          <w:color w:val="202020"/>
        </w:rPr>
        <w:t>In</w:t>
      </w:r>
      <w:r>
        <w:rPr>
          <w:color w:val="202020"/>
          <w:spacing w:val="-14"/>
        </w:rPr>
        <w:t> </w:t>
      </w:r>
      <w:r>
        <w:rPr>
          <w:color w:val="202020"/>
        </w:rPr>
        <w:t>a</w:t>
      </w:r>
      <w:r>
        <w:rPr>
          <w:color w:val="202020"/>
          <w:spacing w:val="-19"/>
        </w:rPr>
        <w:t> </w:t>
      </w:r>
      <w:r>
        <w:rPr>
          <w:color w:val="202020"/>
        </w:rPr>
        <w:t>retrospective</w:t>
      </w:r>
      <w:r>
        <w:rPr>
          <w:color w:val="202020"/>
          <w:spacing w:val="-17"/>
        </w:rPr>
        <w:t> </w:t>
      </w:r>
      <w:r>
        <w:rPr>
          <w:color w:val="202020"/>
        </w:rPr>
        <w:t>case-control</w:t>
      </w:r>
      <w:r>
        <w:rPr>
          <w:color w:val="202020"/>
          <w:spacing w:val="-14"/>
        </w:rPr>
        <w:t> </w:t>
      </w:r>
      <w:r>
        <w:rPr>
          <w:color w:val="202020"/>
        </w:rPr>
        <w:t>study,</w:t>
      </w:r>
      <w:r>
        <w:rPr>
          <w:color w:val="202020"/>
          <w:spacing w:val="-13"/>
        </w:rPr>
        <w:t> </w:t>
      </w:r>
      <w:r>
        <w:rPr>
          <w:color w:val="202020"/>
        </w:rPr>
        <w:t>the</w:t>
      </w:r>
      <w:r>
        <w:rPr>
          <w:color w:val="202020"/>
          <w:spacing w:val="-18"/>
        </w:rPr>
        <w:t> </w:t>
      </w:r>
      <w:r>
        <w:rPr>
          <w:color w:val="202020"/>
        </w:rPr>
        <w:t>odds</w:t>
      </w:r>
      <w:r>
        <w:rPr>
          <w:color w:val="202020"/>
          <w:spacing w:val="-13"/>
        </w:rPr>
        <w:t> </w:t>
      </w:r>
      <w:r>
        <w:rPr>
          <w:color w:val="202020"/>
        </w:rPr>
        <w:t>ratio</w:t>
      </w:r>
      <w:r>
        <w:rPr>
          <w:color w:val="202020"/>
          <w:spacing w:val="-15"/>
        </w:rPr>
        <w:t> </w:t>
      </w:r>
      <w:r>
        <w:rPr>
          <w:color w:val="202020"/>
        </w:rPr>
        <w:t>for</w:t>
      </w:r>
      <w:r>
        <w:rPr>
          <w:color w:val="202020"/>
          <w:spacing w:val="-13"/>
        </w:rPr>
        <w:t> </w:t>
      </w:r>
      <w:r>
        <w:rPr>
          <w:color w:val="202020"/>
        </w:rPr>
        <w:t>TB</w:t>
      </w:r>
      <w:r>
        <w:rPr>
          <w:color w:val="202020"/>
          <w:spacing w:val="-14"/>
        </w:rPr>
        <w:t> </w:t>
      </w:r>
      <w:r>
        <w:rPr>
          <w:color w:val="202020"/>
        </w:rPr>
        <w:t>was</w:t>
      </w:r>
      <w:r>
        <w:rPr>
          <w:color w:val="202020"/>
          <w:spacing w:val="-16"/>
        </w:rPr>
        <w:t> </w:t>
      </w:r>
      <w:r>
        <w:rPr>
          <w:color w:val="202020"/>
        </w:rPr>
        <w:t>2.8</w:t>
      </w:r>
      <w:r>
        <w:rPr>
          <w:color w:val="202020"/>
          <w:spacing w:val="-16"/>
        </w:rPr>
        <w:t> </w:t>
      </w:r>
      <w:r>
        <w:rPr>
          <w:color w:val="202020"/>
        </w:rPr>
        <w:t>(95%</w:t>
      </w:r>
      <w:r>
        <w:rPr>
          <w:color w:val="202020"/>
          <w:spacing w:val="-15"/>
        </w:rPr>
        <w:t> </w:t>
      </w:r>
      <w:r>
        <w:rPr>
          <w:color w:val="202020"/>
        </w:rPr>
        <w:t>CI:</w:t>
      </w:r>
      <w:r>
        <w:rPr>
          <w:color w:val="202020"/>
          <w:spacing w:val="-17"/>
        </w:rPr>
        <w:t> </w:t>
      </w:r>
      <w:r>
        <w:rPr>
          <w:color w:val="202020"/>
        </w:rPr>
        <w:t>1.0</w:t>
      </w:r>
      <w:r>
        <w:rPr>
          <w:rFonts w:ascii="Arial" w:hAnsi="Arial"/>
          <w:color w:val="202020"/>
        </w:rPr>
        <w:t>–</w:t>
      </w:r>
      <w:r>
        <w:rPr>
          <w:color w:val="202020"/>
        </w:rPr>
        <w:t>7.9)</w:t>
      </w:r>
      <w:r>
        <w:rPr>
          <w:color w:val="202020"/>
          <w:spacing w:val="-12"/>
        </w:rPr>
        <w:t> </w:t>
      </w:r>
      <w:r>
        <w:rPr>
          <w:color w:val="202020"/>
        </w:rPr>
        <w:t>for</w:t>
      </w:r>
      <w:r>
        <w:rPr>
          <w:color w:val="202020"/>
          <w:spacing w:val="-13"/>
        </w:rPr>
        <w:t> </w:t>
      </w:r>
      <w:r>
        <w:rPr>
          <w:color w:val="202020"/>
        </w:rPr>
        <w:t>doses lower</w:t>
      </w:r>
      <w:r>
        <w:rPr>
          <w:color w:val="202020"/>
          <w:spacing w:val="-8"/>
        </w:rPr>
        <w:t> </w:t>
      </w:r>
      <w:r>
        <w:rPr>
          <w:color w:val="202020"/>
        </w:rPr>
        <w:t>than</w:t>
      </w:r>
      <w:r>
        <w:rPr>
          <w:color w:val="202020"/>
          <w:spacing w:val="-10"/>
        </w:rPr>
        <w:t> </w:t>
      </w:r>
      <w:r>
        <w:rPr>
          <w:color w:val="202020"/>
        </w:rPr>
        <w:t>15mg/day</w:t>
      </w:r>
      <w:r>
        <w:rPr>
          <w:color w:val="202020"/>
          <w:spacing w:val="-9"/>
        </w:rPr>
        <w:t> </w:t>
      </w:r>
      <w:r>
        <w:rPr>
          <w:color w:val="202020"/>
        </w:rPr>
        <w:t>of</w:t>
      </w:r>
      <w:r>
        <w:rPr>
          <w:color w:val="202020"/>
          <w:spacing w:val="-7"/>
        </w:rPr>
        <w:t> </w:t>
      </w:r>
      <w:r>
        <w:rPr>
          <w:color w:val="202020"/>
        </w:rPr>
        <w:t>prednisone</w:t>
      </w:r>
      <w:r>
        <w:rPr>
          <w:color w:val="202020"/>
          <w:spacing w:val="-9"/>
        </w:rPr>
        <w:t> </w:t>
      </w:r>
      <w:r>
        <w:rPr>
          <w:color w:val="202020"/>
        </w:rPr>
        <w:t>and</w:t>
      </w:r>
      <w:r>
        <w:rPr>
          <w:color w:val="202020"/>
          <w:spacing w:val="-10"/>
        </w:rPr>
        <w:t> </w:t>
      </w:r>
      <w:r>
        <w:rPr>
          <w:color w:val="202020"/>
        </w:rPr>
        <w:t>7.7</w:t>
      </w:r>
      <w:r>
        <w:rPr>
          <w:color w:val="202020"/>
          <w:spacing w:val="-11"/>
        </w:rPr>
        <w:t> </w:t>
      </w:r>
      <w:r>
        <w:rPr>
          <w:color w:val="202020"/>
        </w:rPr>
        <w:t>(95%</w:t>
      </w:r>
      <w:r>
        <w:rPr>
          <w:color w:val="202020"/>
          <w:spacing w:val="-10"/>
        </w:rPr>
        <w:t> </w:t>
      </w:r>
      <w:r>
        <w:rPr>
          <w:color w:val="202020"/>
        </w:rPr>
        <w:t>CI:</w:t>
      </w:r>
      <w:r>
        <w:rPr>
          <w:color w:val="202020"/>
          <w:spacing w:val="-10"/>
        </w:rPr>
        <w:t> </w:t>
      </w:r>
      <w:r>
        <w:rPr>
          <w:color w:val="202020"/>
        </w:rPr>
        <w:t>2.8</w:t>
      </w:r>
      <w:r>
        <w:rPr>
          <w:rFonts w:ascii="Arial" w:hAnsi="Arial"/>
          <w:color w:val="202020"/>
        </w:rPr>
        <w:t>–</w:t>
      </w:r>
      <w:r>
        <w:rPr>
          <w:color w:val="202020"/>
        </w:rPr>
        <w:t>21.4)</w:t>
      </w:r>
      <w:r>
        <w:rPr>
          <w:color w:val="202020"/>
          <w:spacing w:val="-7"/>
        </w:rPr>
        <w:t> </w:t>
      </w:r>
      <w:r>
        <w:rPr>
          <w:color w:val="202020"/>
        </w:rPr>
        <w:t>for</w:t>
      </w:r>
      <w:r>
        <w:rPr>
          <w:color w:val="202020"/>
          <w:spacing w:val="-9"/>
        </w:rPr>
        <w:t> </w:t>
      </w:r>
      <w:r>
        <w:rPr>
          <w:color w:val="202020"/>
        </w:rPr>
        <w:t>doses</w:t>
      </w:r>
      <w:r>
        <w:rPr>
          <w:color w:val="202020"/>
          <w:spacing w:val="-7"/>
        </w:rPr>
        <w:t> </w:t>
      </w:r>
      <w:r>
        <w:rPr>
          <w:color w:val="202020"/>
        </w:rPr>
        <w:t>greater</w:t>
      </w:r>
      <w:r>
        <w:rPr>
          <w:color w:val="202020"/>
          <w:spacing w:val="-9"/>
        </w:rPr>
        <w:t> </w:t>
      </w:r>
      <w:r>
        <w:rPr>
          <w:color w:val="202020"/>
        </w:rPr>
        <w:t>than</w:t>
      </w:r>
      <w:r>
        <w:rPr>
          <w:color w:val="202020"/>
          <w:spacing w:val="-10"/>
        </w:rPr>
        <w:t> </w:t>
      </w:r>
      <w:r>
        <w:rPr>
          <w:color w:val="202020"/>
        </w:rPr>
        <w:t>15mg/day. (11)</w:t>
      </w:r>
    </w:p>
    <w:p>
      <w:pPr>
        <w:pStyle w:val="BodyText"/>
      </w:pPr>
    </w:p>
    <w:p>
      <w:pPr>
        <w:pStyle w:val="BodyText"/>
        <w:spacing w:line="360" w:lineRule="auto" w:before="149"/>
        <w:ind w:left="100" w:right="170" w:firstLine="720"/>
        <w:jc w:val="both"/>
      </w:pPr>
      <w:r>
        <w:rPr>
          <w:color w:val="202020"/>
        </w:rPr>
        <w:t>According to a research at Leiden University Netherlands by Xie et al. involving larval zebrafish</w:t>
      </w:r>
      <w:r>
        <w:rPr>
          <w:color w:val="202020"/>
          <w:spacing w:val="-11"/>
        </w:rPr>
        <w:t> </w:t>
      </w:r>
      <w:r>
        <w:rPr>
          <w:color w:val="202020"/>
        </w:rPr>
        <w:t>models</w:t>
      </w:r>
      <w:r>
        <w:rPr>
          <w:color w:val="202020"/>
          <w:spacing w:val="-12"/>
        </w:rPr>
        <w:t> </w:t>
      </w:r>
      <w:r>
        <w:rPr>
          <w:color w:val="202020"/>
        </w:rPr>
        <w:t>for</w:t>
      </w:r>
      <w:r>
        <w:rPr>
          <w:color w:val="202020"/>
          <w:spacing w:val="-8"/>
        </w:rPr>
        <w:t> </w:t>
      </w:r>
      <w:r>
        <w:rPr>
          <w:color w:val="202020"/>
        </w:rPr>
        <w:t>tuberculosis</w:t>
      </w:r>
      <w:r>
        <w:rPr>
          <w:color w:val="202020"/>
          <w:spacing w:val="-8"/>
        </w:rPr>
        <w:t> </w:t>
      </w:r>
      <w:r>
        <w:rPr>
          <w:color w:val="202020"/>
        </w:rPr>
        <w:t>to</w:t>
      </w:r>
      <w:r>
        <w:rPr>
          <w:color w:val="202020"/>
          <w:spacing w:val="-16"/>
        </w:rPr>
        <w:t> </w:t>
      </w:r>
      <w:r>
        <w:rPr>
          <w:color w:val="202020"/>
        </w:rPr>
        <w:t>study</w:t>
      </w:r>
      <w:r>
        <w:rPr>
          <w:color w:val="202020"/>
          <w:spacing w:val="-8"/>
        </w:rPr>
        <w:t> </w:t>
      </w:r>
      <w:r>
        <w:rPr>
          <w:color w:val="202020"/>
        </w:rPr>
        <w:t>the</w:t>
      </w:r>
      <w:r>
        <w:rPr>
          <w:color w:val="202020"/>
          <w:spacing w:val="-13"/>
        </w:rPr>
        <w:t> </w:t>
      </w:r>
      <w:r>
        <w:rPr>
          <w:color w:val="202020"/>
        </w:rPr>
        <w:t>effect</w:t>
      </w:r>
      <w:r>
        <w:rPr>
          <w:color w:val="202020"/>
          <w:spacing w:val="-14"/>
        </w:rPr>
        <w:t> </w:t>
      </w:r>
      <w:r>
        <w:rPr>
          <w:color w:val="202020"/>
        </w:rPr>
        <w:t>of</w:t>
      </w:r>
      <w:r>
        <w:rPr>
          <w:color w:val="202020"/>
          <w:spacing w:val="-7"/>
        </w:rPr>
        <w:t> </w:t>
      </w:r>
      <w:r>
        <w:rPr>
          <w:color w:val="202020"/>
        </w:rPr>
        <w:t>glucocorticoids,</w:t>
      </w:r>
      <w:r>
        <w:rPr>
          <w:color w:val="202020"/>
          <w:spacing w:val="-9"/>
        </w:rPr>
        <w:t> </w:t>
      </w:r>
      <w:r>
        <w:rPr>
          <w:color w:val="202020"/>
        </w:rPr>
        <w:t>they</w:t>
      </w:r>
      <w:r>
        <w:rPr>
          <w:color w:val="202020"/>
          <w:spacing w:val="-8"/>
        </w:rPr>
        <w:t> </w:t>
      </w:r>
      <w:r>
        <w:rPr>
          <w:color w:val="202020"/>
        </w:rPr>
        <w:t>have</w:t>
      </w:r>
      <w:r>
        <w:rPr>
          <w:color w:val="202020"/>
          <w:spacing w:val="-8"/>
        </w:rPr>
        <w:t> </w:t>
      </w:r>
      <w:r>
        <w:rPr>
          <w:color w:val="202020"/>
        </w:rPr>
        <w:t>concluded</w:t>
      </w:r>
      <w:r>
        <w:rPr>
          <w:color w:val="202020"/>
          <w:spacing w:val="-9"/>
        </w:rPr>
        <w:t> </w:t>
      </w:r>
      <w:r>
        <w:rPr>
          <w:color w:val="202020"/>
        </w:rPr>
        <w:t>that glucocorticoids inhibit the phagocytic activity of macrophages, which may increase the severity of bacterial infections like tuberculosis. (12) Another study by Wang et al. demonstrated that glucocorticoids inhibited the innate immune response, antimicrobial nitric oxide production and autophagy in mycobacteria-challenged macrophages. They impair innate antimicrobial autophagy and promote mycobacterial survival in macrophages.</w:t>
      </w:r>
      <w:r>
        <w:rPr>
          <w:color w:val="202020"/>
          <w:spacing w:val="-1"/>
        </w:rPr>
        <w:t> </w:t>
      </w:r>
      <w:r>
        <w:rPr>
          <w:color w:val="202020"/>
        </w:rPr>
        <w:t>(13)</w:t>
      </w:r>
    </w:p>
    <w:p>
      <w:pPr>
        <w:pStyle w:val="BodyText"/>
      </w:pPr>
    </w:p>
    <w:p>
      <w:pPr>
        <w:pStyle w:val="BodyText"/>
        <w:spacing w:line="357" w:lineRule="auto" w:before="147"/>
        <w:ind w:left="100" w:right="172" w:firstLine="720"/>
        <w:jc w:val="both"/>
      </w:pPr>
      <w:r>
        <w:rPr>
          <w:color w:val="202020"/>
        </w:rPr>
        <w:t>Cushing's syndrome is a constellation of signs and symptoms as a result of chronic exposure to excessive circulating levels of glucocorticoids. The increased susceptibility to infection of patients with Cushing's syndrome correlates with the degree of hypercortisolism.</w:t>
      </w:r>
    </w:p>
    <w:p>
      <w:pPr>
        <w:pStyle w:val="ListParagraph"/>
        <w:numPr>
          <w:ilvl w:val="0"/>
          <w:numId w:val="1"/>
        </w:numPr>
        <w:tabs>
          <w:tab w:pos="565" w:val="left" w:leader="none"/>
        </w:tabs>
        <w:spacing w:line="360" w:lineRule="auto" w:before="6" w:after="0"/>
        <w:ind w:left="100" w:right="171" w:firstLine="0"/>
        <w:jc w:val="both"/>
        <w:rPr>
          <w:sz w:val="24"/>
        </w:rPr>
      </w:pPr>
      <w:r>
        <w:rPr>
          <w:color w:val="202020"/>
          <w:sz w:val="24"/>
        </w:rPr>
        <w:t>The etiology of Cushing's syndrome can be divided into two categories: ACTH-dependent and ACTH-independent. ACTH-dependent forms are usually pituitary in origin and are characterized by excessive ACTH production, which stimulates all three layers </w:t>
      </w:r>
      <w:r>
        <w:rPr>
          <w:color w:val="202020"/>
          <w:spacing w:val="-4"/>
          <w:sz w:val="24"/>
        </w:rPr>
        <w:t>of </w:t>
      </w:r>
      <w:r>
        <w:rPr>
          <w:color w:val="202020"/>
          <w:sz w:val="24"/>
        </w:rPr>
        <w:t>adrenal cortex to</w:t>
      </w:r>
      <w:r>
        <w:rPr>
          <w:color w:val="202020"/>
          <w:spacing w:val="-10"/>
          <w:sz w:val="24"/>
        </w:rPr>
        <w:t> </w:t>
      </w:r>
      <w:r>
        <w:rPr>
          <w:color w:val="202020"/>
          <w:sz w:val="24"/>
        </w:rPr>
        <w:t>produce</w:t>
      </w:r>
      <w:r>
        <w:rPr>
          <w:color w:val="202020"/>
          <w:spacing w:val="-7"/>
          <w:sz w:val="24"/>
        </w:rPr>
        <w:t> </w:t>
      </w:r>
      <w:r>
        <w:rPr>
          <w:color w:val="202020"/>
          <w:sz w:val="24"/>
        </w:rPr>
        <w:t>aldosterone,</w:t>
      </w:r>
      <w:r>
        <w:rPr>
          <w:color w:val="202020"/>
          <w:spacing w:val="-6"/>
          <w:sz w:val="24"/>
        </w:rPr>
        <w:t> </w:t>
      </w:r>
      <w:r>
        <w:rPr>
          <w:color w:val="202020"/>
          <w:sz w:val="24"/>
        </w:rPr>
        <w:t>cortisol,</w:t>
      </w:r>
      <w:r>
        <w:rPr>
          <w:color w:val="202020"/>
          <w:spacing w:val="-8"/>
          <w:sz w:val="24"/>
        </w:rPr>
        <w:t> </w:t>
      </w:r>
      <w:r>
        <w:rPr>
          <w:color w:val="202020"/>
          <w:sz w:val="24"/>
        </w:rPr>
        <w:t>and</w:t>
      </w:r>
      <w:r>
        <w:rPr>
          <w:color w:val="202020"/>
          <w:spacing w:val="-8"/>
          <w:sz w:val="24"/>
        </w:rPr>
        <w:t> </w:t>
      </w:r>
      <w:r>
        <w:rPr>
          <w:color w:val="202020"/>
          <w:sz w:val="24"/>
        </w:rPr>
        <w:t>sex</w:t>
      </w:r>
      <w:r>
        <w:rPr>
          <w:color w:val="202020"/>
          <w:spacing w:val="-6"/>
          <w:sz w:val="24"/>
        </w:rPr>
        <w:t> </w:t>
      </w:r>
      <w:r>
        <w:rPr>
          <w:color w:val="202020"/>
          <w:sz w:val="24"/>
        </w:rPr>
        <w:t>hormones.</w:t>
      </w:r>
      <w:r>
        <w:rPr>
          <w:color w:val="202020"/>
          <w:spacing w:val="-4"/>
          <w:sz w:val="24"/>
        </w:rPr>
        <w:t> </w:t>
      </w:r>
      <w:r>
        <w:rPr>
          <w:color w:val="202020"/>
          <w:sz w:val="24"/>
        </w:rPr>
        <w:t>ACTH-independent</w:t>
      </w:r>
      <w:r>
        <w:rPr>
          <w:color w:val="202020"/>
          <w:spacing w:val="-8"/>
          <w:sz w:val="24"/>
        </w:rPr>
        <w:t> </w:t>
      </w:r>
      <w:r>
        <w:rPr>
          <w:color w:val="202020"/>
          <w:sz w:val="24"/>
        </w:rPr>
        <w:t>forms</w:t>
      </w:r>
      <w:r>
        <w:rPr>
          <w:color w:val="202020"/>
          <w:spacing w:val="-7"/>
          <w:sz w:val="24"/>
        </w:rPr>
        <w:t> </w:t>
      </w:r>
      <w:r>
        <w:rPr>
          <w:color w:val="202020"/>
          <w:sz w:val="24"/>
        </w:rPr>
        <w:t>have</w:t>
      </w:r>
      <w:r>
        <w:rPr>
          <w:color w:val="202020"/>
          <w:spacing w:val="-6"/>
          <w:sz w:val="24"/>
        </w:rPr>
        <w:t> </w:t>
      </w:r>
      <w:r>
        <w:rPr>
          <w:color w:val="202020"/>
          <w:sz w:val="24"/>
        </w:rPr>
        <w:t>low</w:t>
      </w:r>
      <w:r>
        <w:rPr>
          <w:color w:val="202020"/>
          <w:spacing w:val="-9"/>
          <w:sz w:val="24"/>
        </w:rPr>
        <w:t> </w:t>
      </w:r>
      <w:r>
        <w:rPr>
          <w:color w:val="202020"/>
          <w:sz w:val="24"/>
        </w:rPr>
        <w:t>levels</w:t>
      </w:r>
      <w:r>
        <w:rPr>
          <w:color w:val="202020"/>
          <w:spacing w:val="-7"/>
          <w:sz w:val="24"/>
        </w:rPr>
        <w:t> </w:t>
      </w:r>
      <w:r>
        <w:rPr>
          <w:color w:val="202020"/>
          <w:sz w:val="24"/>
        </w:rPr>
        <w:t>of ACTH because the excess glucocorticoids trigger the adrenals to send negative feedback to the pituitary. The excess steroids can either be from </w:t>
      </w:r>
      <w:r>
        <w:rPr>
          <w:color w:val="202020"/>
          <w:spacing w:val="-3"/>
          <w:sz w:val="24"/>
        </w:rPr>
        <w:t>the </w:t>
      </w:r>
      <w:r>
        <w:rPr>
          <w:color w:val="202020"/>
          <w:sz w:val="24"/>
        </w:rPr>
        <w:t>adrenals oversecreting glucocorticoids or due to exogenous administration. Among the ACTH-independent etiologies of Cushing's syndrome, only adrenal adenomas usually secrete only glucocorticoids and not aldosterone, androgens, or estrogen. (15) Patients with Cushing's syndrome have greater frequency of infections</w:t>
      </w:r>
      <w:r>
        <w:rPr>
          <w:color w:val="202020"/>
          <w:spacing w:val="-13"/>
          <w:sz w:val="24"/>
        </w:rPr>
        <w:t> </w:t>
      </w:r>
      <w:r>
        <w:rPr>
          <w:color w:val="202020"/>
          <w:sz w:val="24"/>
        </w:rPr>
        <w:t>because</w:t>
      </w:r>
      <w:r>
        <w:rPr>
          <w:color w:val="202020"/>
          <w:spacing w:val="-12"/>
          <w:sz w:val="24"/>
        </w:rPr>
        <w:t> </w:t>
      </w:r>
      <w:r>
        <w:rPr>
          <w:color w:val="202020"/>
          <w:sz w:val="24"/>
        </w:rPr>
        <w:t>of</w:t>
      </w:r>
      <w:r>
        <w:rPr>
          <w:color w:val="202020"/>
          <w:spacing w:val="-11"/>
          <w:sz w:val="24"/>
        </w:rPr>
        <w:t> </w:t>
      </w:r>
      <w:r>
        <w:rPr>
          <w:color w:val="202020"/>
          <w:sz w:val="24"/>
        </w:rPr>
        <w:t>inhibition</w:t>
      </w:r>
      <w:r>
        <w:rPr>
          <w:color w:val="202020"/>
          <w:spacing w:val="-14"/>
          <w:sz w:val="24"/>
        </w:rPr>
        <w:t> </w:t>
      </w:r>
      <w:r>
        <w:rPr>
          <w:color w:val="202020"/>
          <w:sz w:val="24"/>
        </w:rPr>
        <w:t>of</w:t>
      </w:r>
      <w:r>
        <w:rPr>
          <w:color w:val="202020"/>
          <w:spacing w:val="-11"/>
          <w:sz w:val="24"/>
        </w:rPr>
        <w:t> </w:t>
      </w:r>
      <w:r>
        <w:rPr>
          <w:color w:val="202020"/>
          <w:sz w:val="24"/>
        </w:rPr>
        <w:t>immune</w:t>
      </w:r>
      <w:r>
        <w:rPr>
          <w:color w:val="202020"/>
          <w:spacing w:val="-12"/>
          <w:sz w:val="24"/>
        </w:rPr>
        <w:t> </w:t>
      </w:r>
      <w:r>
        <w:rPr>
          <w:color w:val="202020"/>
          <w:sz w:val="24"/>
        </w:rPr>
        <w:t>function</w:t>
      </w:r>
      <w:r>
        <w:rPr>
          <w:color w:val="202020"/>
          <w:spacing w:val="-10"/>
          <w:sz w:val="24"/>
        </w:rPr>
        <w:t> </w:t>
      </w:r>
      <w:r>
        <w:rPr>
          <w:color w:val="202020"/>
          <w:sz w:val="24"/>
        </w:rPr>
        <w:t>by</w:t>
      </w:r>
      <w:r>
        <w:rPr>
          <w:color w:val="202020"/>
          <w:spacing w:val="-12"/>
          <w:sz w:val="24"/>
        </w:rPr>
        <w:t> </w:t>
      </w:r>
      <w:r>
        <w:rPr>
          <w:color w:val="202020"/>
          <w:sz w:val="24"/>
        </w:rPr>
        <w:t>glucocorticoids</w:t>
      </w:r>
      <w:r>
        <w:rPr>
          <w:color w:val="202020"/>
          <w:spacing w:val="-12"/>
          <w:sz w:val="24"/>
        </w:rPr>
        <w:t> </w:t>
      </w:r>
      <w:r>
        <w:rPr>
          <w:color w:val="202020"/>
          <w:sz w:val="24"/>
        </w:rPr>
        <w:t>by</w:t>
      </w:r>
      <w:r>
        <w:rPr>
          <w:color w:val="202020"/>
          <w:spacing w:val="-12"/>
          <w:sz w:val="24"/>
        </w:rPr>
        <w:t> </w:t>
      </w:r>
      <w:r>
        <w:rPr>
          <w:color w:val="202020"/>
          <w:sz w:val="24"/>
        </w:rPr>
        <w:t>decreasing</w:t>
      </w:r>
      <w:r>
        <w:rPr>
          <w:color w:val="202020"/>
          <w:spacing w:val="-12"/>
          <w:sz w:val="24"/>
        </w:rPr>
        <w:t> </w:t>
      </w:r>
      <w:r>
        <w:rPr>
          <w:color w:val="202020"/>
          <w:sz w:val="24"/>
        </w:rPr>
        <w:t>the</w:t>
      </w:r>
      <w:r>
        <w:rPr>
          <w:color w:val="202020"/>
          <w:spacing w:val="-12"/>
          <w:sz w:val="24"/>
        </w:rPr>
        <w:t> </w:t>
      </w:r>
      <w:r>
        <w:rPr>
          <w:color w:val="202020"/>
          <w:sz w:val="24"/>
        </w:rPr>
        <w:t>number of CD4 cells, NK cells and inhibition in cytokine synthesis with predominant effects on cell- mediated immunity (Th1 responses).</w:t>
      </w:r>
      <w:r>
        <w:rPr>
          <w:color w:val="202020"/>
          <w:spacing w:val="-4"/>
          <w:sz w:val="24"/>
        </w:rPr>
        <w:t> </w:t>
      </w:r>
      <w:r>
        <w:rPr>
          <w:color w:val="202020"/>
          <w:sz w:val="24"/>
        </w:rPr>
        <w:t>(16)</w:t>
      </w:r>
    </w:p>
    <w:p>
      <w:pPr>
        <w:pStyle w:val="BodyText"/>
        <w:spacing w:before="11"/>
        <w:rPr>
          <w:sz w:val="19"/>
        </w:rPr>
      </w:pPr>
    </w:p>
    <w:p>
      <w:pPr>
        <w:pStyle w:val="BodyText"/>
        <w:spacing w:line="360" w:lineRule="auto"/>
        <w:ind w:left="100" w:right="176" w:firstLine="720"/>
        <w:jc w:val="both"/>
      </w:pPr>
      <w:r>
        <w:rPr>
          <w:color w:val="202020"/>
        </w:rPr>
        <w:t>In a case report by Bakker R.C. et. al, they found out that the higher the cortisol excess, the</w:t>
      </w:r>
      <w:r>
        <w:rPr>
          <w:color w:val="202020"/>
          <w:spacing w:val="-3"/>
        </w:rPr>
        <w:t> </w:t>
      </w:r>
      <w:r>
        <w:rPr>
          <w:color w:val="202020"/>
        </w:rPr>
        <w:t>greater</w:t>
      </w:r>
      <w:r>
        <w:rPr>
          <w:color w:val="202020"/>
          <w:spacing w:val="-7"/>
        </w:rPr>
        <w:t> </w:t>
      </w:r>
      <w:r>
        <w:rPr>
          <w:color w:val="202020"/>
        </w:rPr>
        <w:t>the</w:t>
      </w:r>
      <w:r>
        <w:rPr>
          <w:color w:val="202020"/>
          <w:spacing w:val="-2"/>
        </w:rPr>
        <w:t> </w:t>
      </w:r>
      <w:r>
        <w:rPr>
          <w:color w:val="202020"/>
        </w:rPr>
        <w:t>number</w:t>
      </w:r>
      <w:r>
        <w:rPr>
          <w:color w:val="202020"/>
          <w:spacing w:val="-2"/>
        </w:rPr>
        <w:t> </w:t>
      </w:r>
      <w:r>
        <w:rPr>
          <w:color w:val="202020"/>
        </w:rPr>
        <w:t>of</w:t>
      </w:r>
      <w:r>
        <w:rPr>
          <w:color w:val="202020"/>
          <w:spacing w:val="-7"/>
        </w:rPr>
        <w:t> </w:t>
      </w:r>
      <w:r>
        <w:rPr>
          <w:color w:val="202020"/>
        </w:rPr>
        <w:t>opportunistic</w:t>
      </w:r>
      <w:r>
        <w:rPr>
          <w:color w:val="202020"/>
          <w:spacing w:val="-5"/>
        </w:rPr>
        <w:t> </w:t>
      </w:r>
      <w:r>
        <w:rPr>
          <w:color w:val="202020"/>
        </w:rPr>
        <w:t>infections</w:t>
      </w:r>
      <w:r>
        <w:rPr>
          <w:color w:val="202020"/>
          <w:spacing w:val="-3"/>
        </w:rPr>
        <w:t> </w:t>
      </w:r>
      <w:r>
        <w:rPr>
          <w:color w:val="202020"/>
        </w:rPr>
        <w:t>and</w:t>
      </w:r>
      <w:r>
        <w:rPr>
          <w:color w:val="202020"/>
          <w:spacing w:val="-5"/>
        </w:rPr>
        <w:t> </w:t>
      </w:r>
      <w:r>
        <w:rPr>
          <w:color w:val="202020"/>
        </w:rPr>
        <w:t>mortality</w:t>
      </w:r>
      <w:r>
        <w:rPr>
          <w:color w:val="202020"/>
          <w:spacing w:val="-2"/>
        </w:rPr>
        <w:t> </w:t>
      </w:r>
      <w:r>
        <w:rPr>
          <w:color w:val="202020"/>
        </w:rPr>
        <w:t>rate.</w:t>
      </w:r>
      <w:r>
        <w:rPr>
          <w:color w:val="202020"/>
          <w:spacing w:val="-5"/>
        </w:rPr>
        <w:t> </w:t>
      </w:r>
      <w:r>
        <w:rPr>
          <w:color w:val="202020"/>
        </w:rPr>
        <w:t>They recommend</w:t>
      </w:r>
      <w:r>
        <w:rPr>
          <w:color w:val="202020"/>
          <w:spacing w:val="-5"/>
        </w:rPr>
        <w:t> </w:t>
      </w:r>
      <w:r>
        <w:rPr>
          <w:color w:val="202020"/>
        </w:rPr>
        <w:t>starting</w:t>
      </w:r>
    </w:p>
    <w:p>
      <w:pPr>
        <w:spacing w:after="0" w:line="360" w:lineRule="auto"/>
        <w:jc w:val="both"/>
        <w:sectPr>
          <w:pgSz w:w="12240" w:h="15840"/>
          <w:pgMar w:top="1420" w:bottom="280" w:left="1340" w:right="1260"/>
        </w:sectPr>
      </w:pPr>
    </w:p>
    <w:p>
      <w:pPr>
        <w:pStyle w:val="BodyText"/>
        <w:spacing w:line="360" w:lineRule="auto" w:before="22"/>
        <w:ind w:left="100"/>
      </w:pPr>
      <w:r>
        <w:rPr>
          <w:color w:val="202020"/>
        </w:rPr>
        <w:t>prophylaxis for </w:t>
      </w:r>
      <w:r>
        <w:rPr>
          <w:i/>
          <w:color w:val="202020"/>
        </w:rPr>
        <w:t>Pneumocystis carinii </w:t>
      </w:r>
      <w:r>
        <w:rPr>
          <w:color w:val="202020"/>
        </w:rPr>
        <w:t>infection when plasma cortisol concentration exceeds 2500 nmol/L as well as to search for concomitant infectious disease. (17)</w:t>
      </w:r>
    </w:p>
    <w:p>
      <w:pPr>
        <w:pStyle w:val="BodyText"/>
        <w:spacing w:before="9"/>
        <w:rPr>
          <w:sz w:val="19"/>
        </w:rPr>
      </w:pPr>
    </w:p>
    <w:p>
      <w:pPr>
        <w:pStyle w:val="BodyText"/>
        <w:spacing w:line="360" w:lineRule="auto"/>
        <w:ind w:left="100" w:right="169" w:firstLine="720"/>
        <w:jc w:val="both"/>
      </w:pPr>
      <w:r>
        <w:rPr>
          <w:color w:val="202020"/>
        </w:rPr>
        <w:t>Treatment</w:t>
      </w:r>
      <w:r>
        <w:rPr>
          <w:color w:val="202020"/>
          <w:spacing w:val="-14"/>
        </w:rPr>
        <w:t> </w:t>
      </w:r>
      <w:r>
        <w:rPr>
          <w:color w:val="202020"/>
        </w:rPr>
        <w:t>of</w:t>
      </w:r>
      <w:r>
        <w:rPr>
          <w:color w:val="202020"/>
          <w:spacing w:val="-11"/>
        </w:rPr>
        <w:t> </w:t>
      </w:r>
      <w:r>
        <w:rPr>
          <w:color w:val="202020"/>
        </w:rPr>
        <w:t>GI</w:t>
      </w:r>
      <w:r>
        <w:rPr>
          <w:color w:val="202020"/>
          <w:spacing w:val="-13"/>
        </w:rPr>
        <w:t> </w:t>
      </w:r>
      <w:r>
        <w:rPr>
          <w:color w:val="202020"/>
        </w:rPr>
        <w:t>TB</w:t>
      </w:r>
      <w:r>
        <w:rPr>
          <w:color w:val="202020"/>
          <w:spacing w:val="-13"/>
        </w:rPr>
        <w:t> </w:t>
      </w:r>
      <w:r>
        <w:rPr>
          <w:color w:val="202020"/>
        </w:rPr>
        <w:t>is</w:t>
      </w:r>
      <w:r>
        <w:rPr>
          <w:color w:val="202020"/>
          <w:spacing w:val="-17"/>
        </w:rPr>
        <w:t> </w:t>
      </w:r>
      <w:r>
        <w:rPr>
          <w:color w:val="202020"/>
        </w:rPr>
        <w:t>similar</w:t>
      </w:r>
      <w:r>
        <w:rPr>
          <w:color w:val="202020"/>
          <w:spacing w:val="-17"/>
        </w:rPr>
        <w:t> </w:t>
      </w:r>
      <w:r>
        <w:rPr>
          <w:color w:val="202020"/>
        </w:rPr>
        <w:t>to</w:t>
      </w:r>
      <w:r>
        <w:rPr>
          <w:color w:val="202020"/>
          <w:spacing w:val="-15"/>
        </w:rPr>
        <w:t> </w:t>
      </w:r>
      <w:r>
        <w:rPr>
          <w:color w:val="202020"/>
        </w:rPr>
        <w:t>the</w:t>
      </w:r>
      <w:r>
        <w:rPr>
          <w:color w:val="202020"/>
          <w:spacing w:val="-12"/>
        </w:rPr>
        <w:t> </w:t>
      </w:r>
      <w:r>
        <w:rPr>
          <w:color w:val="202020"/>
        </w:rPr>
        <w:t>treatment</w:t>
      </w:r>
      <w:r>
        <w:rPr>
          <w:color w:val="202020"/>
          <w:spacing w:val="-13"/>
        </w:rPr>
        <w:t> </w:t>
      </w:r>
      <w:r>
        <w:rPr>
          <w:color w:val="202020"/>
        </w:rPr>
        <w:t>of</w:t>
      </w:r>
      <w:r>
        <w:rPr>
          <w:color w:val="202020"/>
          <w:spacing w:val="-11"/>
        </w:rPr>
        <w:t> </w:t>
      </w:r>
      <w:r>
        <w:rPr>
          <w:color w:val="202020"/>
        </w:rPr>
        <w:t>pulmonary</w:t>
      </w:r>
      <w:r>
        <w:rPr>
          <w:color w:val="202020"/>
          <w:spacing w:val="-13"/>
        </w:rPr>
        <w:t> </w:t>
      </w:r>
      <w:r>
        <w:rPr>
          <w:color w:val="202020"/>
        </w:rPr>
        <w:t>TB,</w:t>
      </w:r>
      <w:r>
        <w:rPr>
          <w:color w:val="202020"/>
          <w:spacing w:val="-13"/>
        </w:rPr>
        <w:t> </w:t>
      </w:r>
      <w:r>
        <w:rPr>
          <w:color w:val="202020"/>
        </w:rPr>
        <w:t>with</w:t>
      </w:r>
      <w:r>
        <w:rPr>
          <w:color w:val="202020"/>
          <w:spacing w:val="-14"/>
        </w:rPr>
        <w:t> </w:t>
      </w:r>
      <w:r>
        <w:rPr>
          <w:color w:val="202020"/>
        </w:rPr>
        <w:t>2</w:t>
      </w:r>
      <w:r>
        <w:rPr>
          <w:color w:val="202020"/>
          <w:spacing w:val="-14"/>
        </w:rPr>
        <w:t> </w:t>
      </w:r>
      <w:r>
        <w:rPr>
          <w:color w:val="202020"/>
        </w:rPr>
        <w:t>months</w:t>
      </w:r>
      <w:r>
        <w:rPr>
          <w:color w:val="202020"/>
          <w:spacing w:val="-12"/>
        </w:rPr>
        <w:t> </w:t>
      </w:r>
      <w:r>
        <w:rPr>
          <w:color w:val="202020"/>
        </w:rPr>
        <w:t>of</w:t>
      </w:r>
      <w:r>
        <w:rPr>
          <w:color w:val="202020"/>
          <w:spacing w:val="-11"/>
        </w:rPr>
        <w:t> </w:t>
      </w:r>
      <w:r>
        <w:rPr>
          <w:color w:val="202020"/>
        </w:rPr>
        <w:t>intensive phase with four medications (rifampicin, isoniazid, pyrazinamide, and ethambutol), followed by maintenance phase with rifampicin and isoniazid for an additional 4 months.</w:t>
      </w:r>
      <w:r>
        <w:rPr>
          <w:color w:val="202020"/>
          <w:spacing w:val="-14"/>
        </w:rPr>
        <w:t> </w:t>
      </w:r>
      <w:r>
        <w:rPr>
          <w:color w:val="202020"/>
        </w:rPr>
        <w:t>(18)</w:t>
      </w:r>
    </w:p>
    <w:p>
      <w:pPr>
        <w:pStyle w:val="BodyText"/>
        <w:spacing w:before="10"/>
        <w:rPr>
          <w:sz w:val="35"/>
        </w:rPr>
      </w:pPr>
    </w:p>
    <w:p>
      <w:pPr>
        <w:pStyle w:val="BodyText"/>
        <w:spacing w:line="360" w:lineRule="auto"/>
        <w:ind w:left="100" w:right="174" w:firstLine="720"/>
        <w:jc w:val="both"/>
      </w:pPr>
      <w:r>
        <w:rPr>
          <w:color w:val="202020"/>
        </w:rPr>
        <w:t>There are only a few reports of tuberculosis in patients with Cushing's syndrome, let alone</w:t>
      </w:r>
      <w:r>
        <w:rPr>
          <w:color w:val="202020"/>
          <w:spacing w:val="-7"/>
        </w:rPr>
        <w:t> </w:t>
      </w:r>
      <w:r>
        <w:rPr>
          <w:color w:val="202020"/>
        </w:rPr>
        <w:t>a</w:t>
      </w:r>
      <w:r>
        <w:rPr>
          <w:color w:val="202020"/>
          <w:spacing w:val="-8"/>
        </w:rPr>
        <w:t> </w:t>
      </w:r>
      <w:r>
        <w:rPr>
          <w:color w:val="202020"/>
        </w:rPr>
        <w:t>GI</w:t>
      </w:r>
      <w:r>
        <w:rPr>
          <w:color w:val="202020"/>
          <w:spacing w:val="-2"/>
        </w:rPr>
        <w:t> </w:t>
      </w:r>
      <w:r>
        <w:rPr>
          <w:color w:val="202020"/>
        </w:rPr>
        <w:t>TB</w:t>
      </w:r>
      <w:r>
        <w:rPr>
          <w:color w:val="202020"/>
          <w:spacing w:val="-8"/>
        </w:rPr>
        <w:t> </w:t>
      </w:r>
      <w:r>
        <w:rPr>
          <w:color w:val="202020"/>
        </w:rPr>
        <w:t>without</w:t>
      </w:r>
      <w:r>
        <w:rPr>
          <w:color w:val="202020"/>
          <w:spacing w:val="-2"/>
        </w:rPr>
        <w:t> </w:t>
      </w:r>
      <w:r>
        <w:rPr>
          <w:color w:val="202020"/>
        </w:rPr>
        <w:t>pulmonary</w:t>
      </w:r>
      <w:r>
        <w:rPr>
          <w:color w:val="202020"/>
          <w:spacing w:val="-7"/>
        </w:rPr>
        <w:t> </w:t>
      </w:r>
      <w:r>
        <w:rPr>
          <w:color w:val="202020"/>
        </w:rPr>
        <w:t>involvement.</w:t>
      </w:r>
      <w:r>
        <w:rPr>
          <w:color w:val="202020"/>
          <w:spacing w:val="-8"/>
        </w:rPr>
        <w:t> </w:t>
      </w:r>
      <w:r>
        <w:rPr>
          <w:color w:val="202020"/>
        </w:rPr>
        <w:t>The</w:t>
      </w:r>
      <w:r>
        <w:rPr>
          <w:color w:val="202020"/>
          <w:spacing w:val="-2"/>
        </w:rPr>
        <w:t> </w:t>
      </w:r>
      <w:r>
        <w:rPr>
          <w:color w:val="202020"/>
        </w:rPr>
        <w:t>patient</w:t>
      </w:r>
      <w:r>
        <w:rPr>
          <w:color w:val="202020"/>
          <w:spacing w:val="-8"/>
        </w:rPr>
        <w:t> </w:t>
      </w:r>
      <w:r>
        <w:rPr>
          <w:color w:val="202020"/>
        </w:rPr>
        <w:t>has</w:t>
      </w:r>
      <w:r>
        <w:rPr>
          <w:color w:val="202020"/>
          <w:spacing w:val="-6"/>
        </w:rPr>
        <w:t> </w:t>
      </w:r>
      <w:r>
        <w:rPr>
          <w:color w:val="202020"/>
        </w:rPr>
        <w:t>no</w:t>
      </w:r>
      <w:r>
        <w:rPr>
          <w:color w:val="202020"/>
          <w:spacing w:val="-5"/>
        </w:rPr>
        <w:t> </w:t>
      </w:r>
      <w:r>
        <w:rPr>
          <w:color w:val="202020"/>
        </w:rPr>
        <w:t>other</w:t>
      </w:r>
      <w:r>
        <w:rPr>
          <w:color w:val="202020"/>
          <w:spacing w:val="-5"/>
        </w:rPr>
        <w:t> </w:t>
      </w:r>
      <w:r>
        <w:rPr>
          <w:color w:val="202020"/>
        </w:rPr>
        <w:t>established</w:t>
      </w:r>
      <w:r>
        <w:rPr>
          <w:color w:val="202020"/>
          <w:spacing w:val="-8"/>
        </w:rPr>
        <w:t> </w:t>
      </w:r>
      <w:r>
        <w:rPr>
          <w:color w:val="202020"/>
        </w:rPr>
        <w:t>or</w:t>
      </w:r>
      <w:r>
        <w:rPr>
          <w:color w:val="202020"/>
          <w:spacing w:val="-6"/>
        </w:rPr>
        <w:t> </w:t>
      </w:r>
      <w:r>
        <w:rPr>
          <w:color w:val="202020"/>
        </w:rPr>
        <w:t>emerging risk</w:t>
      </w:r>
      <w:r>
        <w:rPr>
          <w:color w:val="202020"/>
          <w:spacing w:val="-8"/>
        </w:rPr>
        <w:t> </w:t>
      </w:r>
      <w:r>
        <w:rPr>
          <w:color w:val="202020"/>
        </w:rPr>
        <w:t>factors</w:t>
      </w:r>
      <w:r>
        <w:rPr>
          <w:color w:val="202020"/>
          <w:spacing w:val="-3"/>
        </w:rPr>
        <w:t> </w:t>
      </w:r>
      <w:r>
        <w:rPr>
          <w:color w:val="202020"/>
        </w:rPr>
        <w:t>such</w:t>
      </w:r>
      <w:r>
        <w:rPr>
          <w:color w:val="202020"/>
          <w:spacing w:val="-4"/>
        </w:rPr>
        <w:t> </w:t>
      </w:r>
      <w:r>
        <w:rPr>
          <w:color w:val="202020"/>
        </w:rPr>
        <w:t>as</w:t>
      </w:r>
      <w:r>
        <w:rPr>
          <w:color w:val="202020"/>
          <w:spacing w:val="-8"/>
        </w:rPr>
        <w:t> </w:t>
      </w:r>
      <w:r>
        <w:rPr>
          <w:color w:val="202020"/>
        </w:rPr>
        <w:t>HIV</w:t>
      </w:r>
      <w:r>
        <w:rPr>
          <w:color w:val="202020"/>
          <w:spacing w:val="-4"/>
        </w:rPr>
        <w:t> </w:t>
      </w:r>
      <w:r>
        <w:rPr>
          <w:color w:val="202020"/>
        </w:rPr>
        <w:t>infection,</w:t>
      </w:r>
      <w:r>
        <w:rPr>
          <w:color w:val="202020"/>
          <w:spacing w:val="-4"/>
        </w:rPr>
        <w:t> </w:t>
      </w:r>
      <w:r>
        <w:rPr>
          <w:color w:val="202020"/>
        </w:rPr>
        <w:t>diabetes,</w:t>
      </w:r>
      <w:r>
        <w:rPr>
          <w:color w:val="202020"/>
          <w:spacing w:val="-4"/>
        </w:rPr>
        <w:t> </w:t>
      </w:r>
      <w:r>
        <w:rPr>
          <w:color w:val="202020"/>
        </w:rPr>
        <w:t>malnutrition,</w:t>
      </w:r>
      <w:r>
        <w:rPr>
          <w:color w:val="202020"/>
          <w:spacing w:val="-3"/>
        </w:rPr>
        <w:t> </w:t>
      </w:r>
      <w:r>
        <w:rPr>
          <w:color w:val="202020"/>
        </w:rPr>
        <w:t>heavy</w:t>
      </w:r>
      <w:r>
        <w:rPr>
          <w:color w:val="202020"/>
          <w:spacing w:val="-3"/>
        </w:rPr>
        <w:t> </w:t>
      </w:r>
      <w:r>
        <w:rPr>
          <w:color w:val="202020"/>
        </w:rPr>
        <w:t>smoking</w:t>
      </w:r>
      <w:r>
        <w:rPr>
          <w:color w:val="202020"/>
          <w:spacing w:val="-6"/>
        </w:rPr>
        <w:t> </w:t>
      </w:r>
      <w:r>
        <w:rPr>
          <w:color w:val="202020"/>
        </w:rPr>
        <w:t>or</w:t>
      </w:r>
      <w:r>
        <w:rPr>
          <w:color w:val="202020"/>
          <w:spacing w:val="-3"/>
        </w:rPr>
        <w:t> </w:t>
      </w:r>
      <w:r>
        <w:rPr>
          <w:color w:val="202020"/>
        </w:rPr>
        <w:t>alcohol</w:t>
      </w:r>
      <w:r>
        <w:rPr>
          <w:color w:val="202020"/>
          <w:spacing w:val="-4"/>
        </w:rPr>
        <w:t> </w:t>
      </w:r>
      <w:r>
        <w:rPr>
          <w:color w:val="202020"/>
        </w:rPr>
        <w:t>intake.</w:t>
      </w:r>
      <w:r>
        <w:rPr>
          <w:color w:val="202020"/>
          <w:spacing w:val="-3"/>
        </w:rPr>
        <w:t> </w:t>
      </w:r>
      <w:r>
        <w:rPr>
          <w:color w:val="202020"/>
        </w:rPr>
        <w:t>In</w:t>
      </w:r>
      <w:r>
        <w:rPr>
          <w:color w:val="202020"/>
          <w:spacing w:val="-10"/>
        </w:rPr>
        <w:t> </w:t>
      </w:r>
      <w:r>
        <w:rPr>
          <w:color w:val="202020"/>
        </w:rPr>
        <w:t>this study,</w:t>
      </w:r>
      <w:r>
        <w:rPr>
          <w:color w:val="202020"/>
          <w:spacing w:val="-4"/>
        </w:rPr>
        <w:t> </w:t>
      </w:r>
      <w:r>
        <w:rPr>
          <w:color w:val="202020"/>
        </w:rPr>
        <w:t>we</w:t>
      </w:r>
      <w:r>
        <w:rPr>
          <w:color w:val="202020"/>
          <w:spacing w:val="-2"/>
        </w:rPr>
        <w:t> </w:t>
      </w:r>
      <w:r>
        <w:rPr>
          <w:color w:val="202020"/>
        </w:rPr>
        <w:t>conclude</w:t>
      </w:r>
      <w:r>
        <w:rPr>
          <w:color w:val="202020"/>
          <w:spacing w:val="-2"/>
        </w:rPr>
        <w:t> </w:t>
      </w:r>
      <w:r>
        <w:rPr>
          <w:color w:val="202020"/>
        </w:rPr>
        <w:t>that</w:t>
      </w:r>
      <w:r>
        <w:rPr>
          <w:color w:val="202020"/>
          <w:spacing w:val="-4"/>
        </w:rPr>
        <w:t> </w:t>
      </w:r>
      <w:r>
        <w:rPr>
          <w:color w:val="202020"/>
        </w:rPr>
        <w:t>the</w:t>
      </w:r>
      <w:r>
        <w:rPr>
          <w:color w:val="202020"/>
          <w:spacing w:val="-2"/>
        </w:rPr>
        <w:t> </w:t>
      </w:r>
      <w:r>
        <w:rPr>
          <w:color w:val="202020"/>
        </w:rPr>
        <w:t>excess cortisol</w:t>
      </w:r>
      <w:r>
        <w:rPr>
          <w:color w:val="202020"/>
          <w:spacing w:val="-3"/>
        </w:rPr>
        <w:t> </w:t>
      </w:r>
      <w:r>
        <w:rPr>
          <w:color w:val="202020"/>
        </w:rPr>
        <w:t>due</w:t>
      </w:r>
      <w:r>
        <w:rPr>
          <w:color w:val="202020"/>
          <w:spacing w:val="-2"/>
        </w:rPr>
        <w:t> </w:t>
      </w:r>
      <w:r>
        <w:rPr>
          <w:color w:val="202020"/>
        </w:rPr>
        <w:t>to</w:t>
      </w:r>
      <w:r>
        <w:rPr>
          <w:color w:val="202020"/>
          <w:spacing w:val="-5"/>
        </w:rPr>
        <w:t> </w:t>
      </w:r>
      <w:r>
        <w:rPr>
          <w:color w:val="202020"/>
        </w:rPr>
        <w:t>Cushing's</w:t>
      </w:r>
      <w:r>
        <w:rPr>
          <w:color w:val="202020"/>
          <w:spacing w:val="-2"/>
        </w:rPr>
        <w:t> </w:t>
      </w:r>
      <w:r>
        <w:rPr>
          <w:color w:val="202020"/>
        </w:rPr>
        <w:t>syndrome</w:t>
      </w:r>
      <w:r>
        <w:rPr>
          <w:color w:val="202020"/>
          <w:spacing w:val="-2"/>
        </w:rPr>
        <w:t> </w:t>
      </w:r>
      <w:r>
        <w:rPr>
          <w:color w:val="202020"/>
        </w:rPr>
        <w:t>put</w:t>
      </w:r>
      <w:r>
        <w:rPr>
          <w:color w:val="202020"/>
          <w:spacing w:val="-4"/>
        </w:rPr>
        <w:t> </w:t>
      </w:r>
      <w:r>
        <w:rPr>
          <w:color w:val="202020"/>
        </w:rPr>
        <w:t>our</w:t>
      </w:r>
      <w:r>
        <w:rPr>
          <w:color w:val="202020"/>
          <w:spacing w:val="-2"/>
        </w:rPr>
        <w:t> </w:t>
      </w:r>
      <w:r>
        <w:rPr>
          <w:color w:val="202020"/>
        </w:rPr>
        <w:t>patient</w:t>
      </w:r>
      <w:r>
        <w:rPr>
          <w:color w:val="202020"/>
          <w:spacing w:val="-3"/>
        </w:rPr>
        <w:t> </w:t>
      </w:r>
      <w:r>
        <w:rPr>
          <w:color w:val="202020"/>
        </w:rPr>
        <w:t>at</w:t>
      </w:r>
      <w:r>
        <w:rPr>
          <w:color w:val="202020"/>
          <w:spacing w:val="-7"/>
        </w:rPr>
        <w:t> </w:t>
      </w:r>
      <w:r>
        <w:rPr>
          <w:color w:val="202020"/>
        </w:rPr>
        <w:t>risk</w:t>
      </w:r>
      <w:r>
        <w:rPr>
          <w:color w:val="202020"/>
          <w:spacing w:val="-7"/>
        </w:rPr>
        <w:t> </w:t>
      </w:r>
      <w:r>
        <w:rPr>
          <w:color w:val="202020"/>
        </w:rPr>
        <w:t>for developing GITB that caused the bleeding ulcer from her terminal ileum. After her two procedures: colonoscopy and left adrenalectomy, the patient was subsequently discharged well with anti-koch's</w:t>
      </w:r>
      <w:r>
        <w:rPr>
          <w:color w:val="202020"/>
          <w:spacing w:val="-2"/>
        </w:rPr>
        <w:t> </w:t>
      </w:r>
      <w:r>
        <w:rPr>
          <w:color w:val="202020"/>
        </w:rPr>
        <w:t>medications.</w:t>
      </w:r>
    </w:p>
    <w:p>
      <w:pPr>
        <w:pStyle w:val="BodyText"/>
        <w:spacing w:before="8"/>
        <w:rPr>
          <w:sz w:val="17"/>
        </w:rPr>
      </w:pPr>
      <w:r>
        <w:rPr/>
        <w:pict>
          <v:shape style="position:absolute;margin-left:72.025002pt;margin-top:13.282886pt;width:412.5pt;height:.1pt;mso-position-horizontal-relative:page;mso-position-vertical-relative:paragraph;z-index:-15727104;mso-wrap-distance-left:0;mso-wrap-distance-right:0" coordorigin="1441,266" coordsize="8250,0" path="m1441,266l9690,266e" filled="false" stroked="true" strokeweight="1.08975pt" strokecolor="#000000">
            <v:path arrowok="t"/>
            <v:stroke dashstyle="solid"/>
            <w10:wrap type="topAndBottom"/>
          </v:shape>
        </w:pict>
      </w:r>
    </w:p>
    <w:p>
      <w:pPr>
        <w:pStyle w:val="BodyText"/>
        <w:spacing w:before="11"/>
        <w:rPr>
          <w:sz w:val="19"/>
        </w:rPr>
      </w:pPr>
    </w:p>
    <w:p>
      <w:pPr>
        <w:pStyle w:val="Heading1"/>
        <w:spacing w:before="51"/>
      </w:pPr>
      <w:r>
        <w:rPr/>
        <w:t>RECOMMENDATIONS:</w:t>
      </w:r>
    </w:p>
    <w:p>
      <w:pPr>
        <w:pStyle w:val="BodyText"/>
        <w:spacing w:before="3"/>
        <w:rPr>
          <w:b/>
          <w:sz w:val="25"/>
        </w:rPr>
      </w:pPr>
    </w:p>
    <w:p>
      <w:pPr>
        <w:pStyle w:val="BodyText"/>
        <w:spacing w:line="360" w:lineRule="auto"/>
        <w:ind w:left="100" w:right="172" w:firstLine="720"/>
        <w:jc w:val="both"/>
      </w:pPr>
      <w:r>
        <w:rPr/>
        <w:t>Cushing's syndrome, regardless of etiology, puts a patient at risk for opportunistic infections because of excessive glucocorticoids in the body. With the findings of this study, we recommend testing of serum plasma cortisol concentrations for all patients with Cushing's syndrome. We advise also to have a high index of suspicion for infectious causes of disease in these</w:t>
      </w:r>
      <w:r>
        <w:rPr>
          <w:spacing w:val="-2"/>
        </w:rPr>
        <w:t> </w:t>
      </w:r>
      <w:r>
        <w:rPr/>
        <w:t>patients.</w:t>
      </w:r>
      <w:r>
        <w:rPr>
          <w:spacing w:val="-4"/>
        </w:rPr>
        <w:t> </w:t>
      </w:r>
      <w:r>
        <w:rPr/>
        <w:t>We</w:t>
      </w:r>
      <w:r>
        <w:rPr>
          <w:spacing w:val="-6"/>
        </w:rPr>
        <w:t> </w:t>
      </w:r>
      <w:r>
        <w:rPr/>
        <w:t>also</w:t>
      </w:r>
      <w:r>
        <w:rPr>
          <w:spacing w:val="-5"/>
        </w:rPr>
        <w:t> </w:t>
      </w:r>
      <w:r>
        <w:rPr/>
        <w:t>suggest</w:t>
      </w:r>
      <w:r>
        <w:rPr>
          <w:spacing w:val="-8"/>
        </w:rPr>
        <w:t> </w:t>
      </w:r>
      <w:r>
        <w:rPr/>
        <w:t>that</w:t>
      </w:r>
      <w:r>
        <w:rPr>
          <w:spacing w:val="-3"/>
        </w:rPr>
        <w:t> </w:t>
      </w:r>
      <w:r>
        <w:rPr/>
        <w:t>patients</w:t>
      </w:r>
      <w:r>
        <w:rPr>
          <w:spacing w:val="-2"/>
        </w:rPr>
        <w:t> </w:t>
      </w:r>
      <w:r>
        <w:rPr/>
        <w:t>with</w:t>
      </w:r>
      <w:r>
        <w:rPr>
          <w:spacing w:val="-5"/>
        </w:rPr>
        <w:t> </w:t>
      </w:r>
      <w:r>
        <w:rPr/>
        <w:t>Cushing's</w:t>
      </w:r>
      <w:r>
        <w:rPr>
          <w:spacing w:val="-2"/>
        </w:rPr>
        <w:t> </w:t>
      </w:r>
      <w:r>
        <w:rPr/>
        <w:t>syndrome</w:t>
      </w:r>
      <w:r>
        <w:rPr>
          <w:spacing w:val="-1"/>
        </w:rPr>
        <w:t> </w:t>
      </w:r>
      <w:r>
        <w:rPr/>
        <w:t>be</w:t>
      </w:r>
      <w:r>
        <w:rPr>
          <w:spacing w:val="-2"/>
        </w:rPr>
        <w:t> </w:t>
      </w:r>
      <w:r>
        <w:rPr/>
        <w:t>screened</w:t>
      </w:r>
      <w:r>
        <w:rPr>
          <w:spacing w:val="-7"/>
        </w:rPr>
        <w:t> </w:t>
      </w:r>
      <w:r>
        <w:rPr/>
        <w:t>for</w:t>
      </w:r>
      <w:r>
        <w:rPr>
          <w:spacing w:val="-2"/>
        </w:rPr>
        <w:t> </w:t>
      </w:r>
      <w:r>
        <w:rPr/>
        <w:t>latent</w:t>
      </w:r>
      <w:r>
        <w:rPr>
          <w:spacing w:val="-3"/>
        </w:rPr>
        <w:t> </w:t>
      </w:r>
      <w:r>
        <w:rPr/>
        <w:t>TB infection.</w:t>
      </w:r>
    </w:p>
    <w:p>
      <w:pPr>
        <w:pStyle w:val="BodyText"/>
        <w:rPr>
          <w:sz w:val="20"/>
        </w:rPr>
      </w:pPr>
    </w:p>
    <w:p>
      <w:pPr>
        <w:pStyle w:val="BodyText"/>
        <w:spacing w:before="1"/>
        <w:rPr>
          <w:sz w:val="11"/>
        </w:rPr>
      </w:pPr>
      <w:r>
        <w:rPr/>
        <w:pict>
          <v:shape style="position:absolute;margin-left:72.025002pt;margin-top:9.158378pt;width:412.5pt;height:.1pt;mso-position-horizontal-relative:page;mso-position-vertical-relative:paragraph;z-index:-15726592;mso-wrap-distance-left:0;mso-wrap-distance-right:0" coordorigin="1441,183" coordsize="8250,0" path="m1441,183l9690,183e" filled="false" stroked="true" strokeweight=".77925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8"/>
        </w:rPr>
      </w:pPr>
    </w:p>
    <w:p>
      <w:pPr>
        <w:pStyle w:val="Heading1"/>
        <w:spacing w:before="52"/>
      </w:pPr>
      <w:r>
        <w:rPr/>
        <w:t>REFERENCES</w:t>
      </w:r>
    </w:p>
    <w:p>
      <w:pPr>
        <w:spacing w:after="0"/>
        <w:sectPr>
          <w:pgSz w:w="12240" w:h="15840"/>
          <w:pgMar w:top="1420" w:bottom="280" w:left="1340" w:right="1260"/>
        </w:sectPr>
      </w:pPr>
    </w:p>
    <w:p>
      <w:pPr>
        <w:pStyle w:val="ListParagraph"/>
        <w:numPr>
          <w:ilvl w:val="1"/>
          <w:numId w:val="1"/>
        </w:numPr>
        <w:tabs>
          <w:tab w:pos="821" w:val="left" w:leader="none"/>
        </w:tabs>
        <w:spacing w:line="360" w:lineRule="auto" w:before="22" w:after="0"/>
        <w:ind w:left="821" w:right="174" w:hanging="360"/>
        <w:jc w:val="both"/>
        <w:rPr>
          <w:sz w:val="24"/>
        </w:rPr>
      </w:pPr>
      <w:r>
        <w:rPr>
          <w:sz w:val="24"/>
        </w:rPr>
        <w:t>Flores,</w:t>
      </w:r>
      <w:r>
        <w:rPr>
          <w:spacing w:val="-12"/>
          <w:sz w:val="24"/>
        </w:rPr>
        <w:t> </w:t>
      </w:r>
      <w:r>
        <w:rPr>
          <w:sz w:val="24"/>
        </w:rPr>
        <w:t>G.</w:t>
      </w:r>
      <w:r>
        <w:rPr>
          <w:spacing w:val="-11"/>
          <w:sz w:val="24"/>
        </w:rPr>
        <w:t> </w:t>
      </w:r>
      <w:r>
        <w:rPr>
          <w:sz w:val="24"/>
        </w:rPr>
        <w:t>P.,</w:t>
      </w:r>
      <w:r>
        <w:rPr>
          <w:spacing w:val="-11"/>
          <w:sz w:val="24"/>
        </w:rPr>
        <w:t> </w:t>
      </w:r>
      <w:r>
        <w:rPr>
          <w:sz w:val="24"/>
        </w:rPr>
        <w:t>Alberto,</w:t>
      </w:r>
      <w:r>
        <w:rPr>
          <w:spacing w:val="-11"/>
          <w:sz w:val="24"/>
        </w:rPr>
        <w:t> </w:t>
      </w:r>
      <w:r>
        <w:rPr>
          <w:sz w:val="24"/>
        </w:rPr>
        <w:t>I.</w:t>
      </w:r>
      <w:r>
        <w:rPr>
          <w:spacing w:val="-12"/>
          <w:sz w:val="24"/>
        </w:rPr>
        <w:t> </w:t>
      </w:r>
      <w:r>
        <w:rPr>
          <w:sz w:val="24"/>
        </w:rPr>
        <w:t>R.</w:t>
      </w:r>
      <w:r>
        <w:rPr>
          <w:spacing w:val="-12"/>
          <w:sz w:val="24"/>
        </w:rPr>
        <w:t> </w:t>
      </w:r>
      <w:r>
        <w:rPr>
          <w:sz w:val="24"/>
        </w:rPr>
        <w:t>I.,</w:t>
      </w:r>
      <w:r>
        <w:rPr>
          <w:spacing w:val="-11"/>
          <w:sz w:val="24"/>
        </w:rPr>
        <w:t> </w:t>
      </w:r>
      <w:r>
        <w:rPr>
          <w:sz w:val="24"/>
        </w:rPr>
        <w:t>Eala,</w:t>
      </w:r>
      <w:r>
        <w:rPr>
          <w:spacing w:val="-11"/>
          <w:sz w:val="24"/>
        </w:rPr>
        <w:t> </w:t>
      </w:r>
      <w:r>
        <w:rPr>
          <w:sz w:val="24"/>
        </w:rPr>
        <w:t>M.</w:t>
      </w:r>
      <w:r>
        <w:rPr>
          <w:spacing w:val="-7"/>
          <w:sz w:val="24"/>
        </w:rPr>
        <w:t> </w:t>
      </w:r>
      <w:r>
        <w:rPr>
          <w:sz w:val="24"/>
        </w:rPr>
        <w:t>A.</w:t>
      </w:r>
      <w:r>
        <w:rPr>
          <w:spacing w:val="-11"/>
          <w:sz w:val="24"/>
        </w:rPr>
        <w:t> </w:t>
      </w:r>
      <w:r>
        <w:rPr>
          <w:sz w:val="24"/>
        </w:rPr>
        <w:t>B.,</w:t>
      </w:r>
      <w:r>
        <w:rPr>
          <w:spacing w:val="-12"/>
          <w:sz w:val="24"/>
        </w:rPr>
        <w:t> </w:t>
      </w:r>
      <w:r>
        <w:rPr>
          <w:sz w:val="24"/>
        </w:rPr>
        <w:t>&amp;</w:t>
      </w:r>
      <w:r>
        <w:rPr>
          <w:spacing w:val="-9"/>
          <w:sz w:val="24"/>
        </w:rPr>
        <w:t> </w:t>
      </w:r>
      <w:r>
        <w:rPr>
          <w:sz w:val="24"/>
        </w:rPr>
        <w:t>Cañal,</w:t>
      </w:r>
      <w:r>
        <w:rPr>
          <w:spacing w:val="-11"/>
          <w:sz w:val="24"/>
        </w:rPr>
        <w:t> </w:t>
      </w:r>
      <w:r>
        <w:rPr>
          <w:sz w:val="24"/>
        </w:rPr>
        <w:t>J.</w:t>
      </w:r>
      <w:r>
        <w:rPr>
          <w:spacing w:val="-2"/>
          <w:sz w:val="24"/>
        </w:rPr>
        <w:t> </w:t>
      </w:r>
      <w:r>
        <w:rPr>
          <w:sz w:val="24"/>
        </w:rPr>
        <w:t>P.</w:t>
      </w:r>
      <w:r>
        <w:rPr>
          <w:spacing w:val="-12"/>
          <w:sz w:val="24"/>
        </w:rPr>
        <w:t> </w:t>
      </w:r>
      <w:r>
        <w:rPr>
          <w:sz w:val="24"/>
        </w:rPr>
        <w:t>A.</w:t>
      </w:r>
      <w:r>
        <w:rPr>
          <w:spacing w:val="-11"/>
          <w:sz w:val="24"/>
        </w:rPr>
        <w:t> </w:t>
      </w:r>
      <w:r>
        <w:rPr>
          <w:sz w:val="24"/>
        </w:rPr>
        <w:t>(2022).</w:t>
      </w:r>
      <w:r>
        <w:rPr>
          <w:spacing w:val="-11"/>
          <w:sz w:val="24"/>
        </w:rPr>
        <w:t> </w:t>
      </w:r>
      <w:r>
        <w:rPr>
          <w:sz w:val="24"/>
        </w:rPr>
        <w:t>The</w:t>
      </w:r>
      <w:r>
        <w:rPr>
          <w:spacing w:val="-10"/>
          <w:sz w:val="24"/>
        </w:rPr>
        <w:t> </w:t>
      </w:r>
      <w:r>
        <w:rPr>
          <w:sz w:val="24"/>
        </w:rPr>
        <w:t>social</w:t>
      </w:r>
      <w:r>
        <w:rPr>
          <w:spacing w:val="-5"/>
          <w:sz w:val="24"/>
        </w:rPr>
        <w:t> </w:t>
      </w:r>
      <w:r>
        <w:rPr>
          <w:sz w:val="24"/>
        </w:rPr>
        <w:t>determinants of tuberculosis in the Philippines. The Lancet Global Health, 10(1), e38. https://doi.org/10.1016/S2214-109X(21)00516-7</w:t>
      </w:r>
    </w:p>
    <w:p>
      <w:pPr>
        <w:pStyle w:val="ListParagraph"/>
        <w:numPr>
          <w:ilvl w:val="1"/>
          <w:numId w:val="1"/>
        </w:numPr>
        <w:tabs>
          <w:tab w:pos="821" w:val="left" w:leader="none"/>
        </w:tabs>
        <w:spacing w:line="360" w:lineRule="auto" w:before="2" w:after="0"/>
        <w:ind w:left="821" w:right="175" w:hanging="360"/>
        <w:jc w:val="both"/>
        <w:rPr>
          <w:sz w:val="24"/>
        </w:rPr>
      </w:pPr>
      <w:r>
        <w:rPr>
          <w:sz w:val="24"/>
        </w:rPr>
        <w:t>Brati, M., Salihu K., &amp; Kol, E. (2019) Tuberculosis among Health Care Workers. ResearchGate. Retrieved April 4, 2022, from</w:t>
      </w:r>
      <w:r>
        <w:rPr>
          <w:spacing w:val="35"/>
          <w:sz w:val="24"/>
        </w:rPr>
        <w:t> </w:t>
      </w:r>
      <w:r>
        <w:rPr>
          <w:sz w:val="24"/>
        </w:rPr>
        <w:t>https://</w:t>
      </w:r>
      <w:hyperlink r:id="rId8">
        <w:r>
          <w:rPr>
            <w:sz w:val="24"/>
          </w:rPr>
          <w:t>www.researchgate.net</w:t>
        </w:r>
      </w:hyperlink>
    </w:p>
    <w:p>
      <w:pPr>
        <w:pStyle w:val="BodyText"/>
        <w:spacing w:line="360" w:lineRule="auto"/>
        <w:ind w:left="821"/>
      </w:pPr>
      <w:r>
        <w:rPr/>
        <w:t>/publication/336812567_Tuberculosis_among_Health_Care_Workers_Case_Report_Cor responding_author</w:t>
      </w:r>
    </w:p>
    <w:p>
      <w:pPr>
        <w:pStyle w:val="ListParagraph"/>
        <w:numPr>
          <w:ilvl w:val="1"/>
          <w:numId w:val="1"/>
        </w:numPr>
        <w:tabs>
          <w:tab w:pos="821" w:val="left" w:leader="none"/>
        </w:tabs>
        <w:spacing w:line="360" w:lineRule="auto" w:before="0" w:after="0"/>
        <w:ind w:left="821" w:right="182" w:hanging="360"/>
        <w:jc w:val="left"/>
        <w:rPr>
          <w:sz w:val="24"/>
        </w:rPr>
      </w:pPr>
      <w:r>
        <w:rPr>
          <w:sz w:val="24"/>
        </w:rPr>
        <w:t>Jameson,</w:t>
      </w:r>
      <w:r>
        <w:rPr>
          <w:spacing w:val="-12"/>
          <w:sz w:val="24"/>
        </w:rPr>
        <w:t> </w:t>
      </w:r>
      <w:r>
        <w:rPr>
          <w:sz w:val="24"/>
        </w:rPr>
        <w:t>J.</w:t>
      </w:r>
      <w:r>
        <w:rPr>
          <w:spacing w:val="-12"/>
          <w:sz w:val="24"/>
        </w:rPr>
        <w:t> </w:t>
      </w:r>
      <w:r>
        <w:rPr>
          <w:sz w:val="24"/>
        </w:rPr>
        <w:t>L.,</w:t>
      </w:r>
      <w:r>
        <w:rPr>
          <w:spacing w:val="-12"/>
          <w:sz w:val="24"/>
        </w:rPr>
        <w:t> </w:t>
      </w:r>
      <w:r>
        <w:rPr>
          <w:sz w:val="24"/>
        </w:rPr>
        <w:t>Fauci,</w:t>
      </w:r>
      <w:r>
        <w:rPr>
          <w:spacing w:val="31"/>
          <w:sz w:val="24"/>
        </w:rPr>
        <w:t> </w:t>
      </w:r>
      <w:r>
        <w:rPr>
          <w:sz w:val="24"/>
        </w:rPr>
        <w:t>A.</w:t>
      </w:r>
      <w:r>
        <w:rPr>
          <w:spacing w:val="-12"/>
          <w:sz w:val="24"/>
        </w:rPr>
        <w:t> </w:t>
      </w:r>
      <w:r>
        <w:rPr>
          <w:sz w:val="24"/>
        </w:rPr>
        <w:t>S.,</w:t>
      </w:r>
      <w:r>
        <w:rPr>
          <w:spacing w:val="-13"/>
          <w:sz w:val="24"/>
        </w:rPr>
        <w:t> </w:t>
      </w:r>
      <w:r>
        <w:rPr>
          <w:sz w:val="24"/>
        </w:rPr>
        <w:t>Kasper,</w:t>
      </w:r>
      <w:r>
        <w:rPr>
          <w:spacing w:val="-12"/>
          <w:sz w:val="24"/>
        </w:rPr>
        <w:t> </w:t>
      </w:r>
      <w:r>
        <w:rPr>
          <w:sz w:val="24"/>
        </w:rPr>
        <w:t>D.</w:t>
      </w:r>
      <w:r>
        <w:rPr>
          <w:spacing w:val="-11"/>
          <w:sz w:val="24"/>
        </w:rPr>
        <w:t> </w:t>
      </w:r>
      <w:r>
        <w:rPr>
          <w:sz w:val="24"/>
        </w:rPr>
        <w:t>L.,</w:t>
      </w:r>
      <w:r>
        <w:rPr>
          <w:spacing w:val="-12"/>
          <w:sz w:val="24"/>
        </w:rPr>
        <w:t> </w:t>
      </w:r>
      <w:r>
        <w:rPr>
          <w:sz w:val="24"/>
        </w:rPr>
        <w:t>Hauser,</w:t>
      </w:r>
      <w:r>
        <w:rPr>
          <w:spacing w:val="-12"/>
          <w:sz w:val="24"/>
        </w:rPr>
        <w:t> </w:t>
      </w:r>
      <w:r>
        <w:rPr>
          <w:sz w:val="24"/>
        </w:rPr>
        <w:t>S.</w:t>
      </w:r>
      <w:r>
        <w:rPr>
          <w:spacing w:val="-13"/>
          <w:sz w:val="24"/>
        </w:rPr>
        <w:t> </w:t>
      </w:r>
      <w:r>
        <w:rPr>
          <w:sz w:val="24"/>
        </w:rPr>
        <w:t>L.,</w:t>
      </w:r>
      <w:r>
        <w:rPr>
          <w:spacing w:val="-17"/>
          <w:sz w:val="24"/>
        </w:rPr>
        <w:t> </w:t>
      </w:r>
      <w:r>
        <w:rPr>
          <w:sz w:val="24"/>
        </w:rPr>
        <w:t>Longo,</w:t>
      </w:r>
      <w:r>
        <w:rPr>
          <w:spacing w:val="-12"/>
          <w:sz w:val="24"/>
        </w:rPr>
        <w:t> </w:t>
      </w:r>
      <w:r>
        <w:rPr>
          <w:sz w:val="24"/>
        </w:rPr>
        <w:t>D.</w:t>
      </w:r>
      <w:r>
        <w:rPr>
          <w:spacing w:val="-12"/>
          <w:sz w:val="24"/>
        </w:rPr>
        <w:t> </w:t>
      </w:r>
      <w:r>
        <w:rPr>
          <w:sz w:val="24"/>
        </w:rPr>
        <w:t>L.,</w:t>
      </w:r>
      <w:r>
        <w:rPr>
          <w:spacing w:val="-12"/>
          <w:sz w:val="24"/>
        </w:rPr>
        <w:t> </w:t>
      </w:r>
      <w:r>
        <w:rPr>
          <w:sz w:val="24"/>
        </w:rPr>
        <w:t>&amp;</w:t>
      </w:r>
      <w:r>
        <w:rPr>
          <w:spacing w:val="-10"/>
          <w:sz w:val="24"/>
        </w:rPr>
        <w:t> </w:t>
      </w:r>
      <w:r>
        <w:rPr>
          <w:sz w:val="24"/>
        </w:rPr>
        <w:t>Loscalzo,</w:t>
      </w:r>
      <w:r>
        <w:rPr>
          <w:spacing w:val="-11"/>
          <w:sz w:val="24"/>
        </w:rPr>
        <w:t> </w:t>
      </w:r>
      <w:r>
        <w:rPr>
          <w:sz w:val="24"/>
        </w:rPr>
        <w:t>J.</w:t>
      </w:r>
      <w:r>
        <w:rPr>
          <w:spacing w:val="-12"/>
          <w:sz w:val="24"/>
        </w:rPr>
        <w:t> </w:t>
      </w:r>
      <w:r>
        <w:rPr>
          <w:sz w:val="24"/>
        </w:rPr>
        <w:t>Harrison's Principles of Internal Medicine. 20th ed. McGraw Hill;</w:t>
      </w:r>
      <w:r>
        <w:rPr>
          <w:spacing w:val="-6"/>
          <w:sz w:val="24"/>
        </w:rPr>
        <w:t> </w:t>
      </w:r>
      <w:r>
        <w:rPr>
          <w:sz w:val="24"/>
        </w:rPr>
        <w:t>2018</w:t>
      </w:r>
    </w:p>
    <w:p>
      <w:pPr>
        <w:pStyle w:val="ListParagraph"/>
        <w:numPr>
          <w:ilvl w:val="1"/>
          <w:numId w:val="1"/>
        </w:numPr>
        <w:tabs>
          <w:tab w:pos="821" w:val="left" w:leader="none"/>
        </w:tabs>
        <w:spacing w:line="360" w:lineRule="auto" w:before="0" w:after="0"/>
        <w:ind w:left="821" w:right="176" w:hanging="360"/>
        <w:jc w:val="left"/>
        <w:rPr>
          <w:sz w:val="24"/>
        </w:rPr>
      </w:pPr>
      <w:r>
        <w:rPr>
          <w:sz w:val="24"/>
        </w:rPr>
        <w:t>Li,</w:t>
      </w:r>
      <w:r>
        <w:rPr>
          <w:spacing w:val="-4"/>
          <w:sz w:val="24"/>
        </w:rPr>
        <w:t> </w:t>
      </w:r>
      <w:r>
        <w:rPr>
          <w:sz w:val="24"/>
        </w:rPr>
        <w:t>B.,</w:t>
      </w:r>
      <w:r>
        <w:rPr>
          <w:spacing w:val="-3"/>
          <w:sz w:val="24"/>
        </w:rPr>
        <w:t> </w:t>
      </w:r>
      <w:r>
        <w:rPr>
          <w:sz w:val="24"/>
        </w:rPr>
        <w:t>Guo,</w:t>
      </w:r>
      <w:r>
        <w:rPr>
          <w:spacing w:val="-3"/>
          <w:sz w:val="24"/>
        </w:rPr>
        <w:t> </w:t>
      </w:r>
      <w:r>
        <w:rPr>
          <w:sz w:val="24"/>
        </w:rPr>
        <w:t>Q.,</w:t>
      </w:r>
      <w:r>
        <w:rPr>
          <w:spacing w:val="-4"/>
          <w:sz w:val="24"/>
        </w:rPr>
        <w:t> </w:t>
      </w:r>
      <w:r>
        <w:rPr>
          <w:sz w:val="24"/>
        </w:rPr>
        <w:t>Yang,</w:t>
      </w:r>
      <w:r>
        <w:rPr>
          <w:spacing w:val="-3"/>
          <w:sz w:val="24"/>
        </w:rPr>
        <w:t> </w:t>
      </w:r>
      <w:r>
        <w:rPr>
          <w:sz w:val="24"/>
        </w:rPr>
        <w:t>H.,</w:t>
      </w:r>
      <w:r>
        <w:rPr>
          <w:spacing w:val="-3"/>
          <w:sz w:val="24"/>
        </w:rPr>
        <w:t> </w:t>
      </w:r>
      <w:r>
        <w:rPr>
          <w:sz w:val="24"/>
        </w:rPr>
        <w:t>&amp;</w:t>
      </w:r>
      <w:r>
        <w:rPr>
          <w:spacing w:val="-2"/>
          <w:sz w:val="24"/>
        </w:rPr>
        <w:t> </w:t>
      </w:r>
      <w:r>
        <w:rPr>
          <w:sz w:val="24"/>
        </w:rPr>
        <w:t>Guan,</w:t>
      </w:r>
      <w:r>
        <w:rPr>
          <w:spacing w:val="-3"/>
          <w:sz w:val="24"/>
        </w:rPr>
        <w:t> </w:t>
      </w:r>
      <w:r>
        <w:rPr>
          <w:sz w:val="24"/>
        </w:rPr>
        <w:t>J.</w:t>
      </w:r>
      <w:r>
        <w:rPr>
          <w:spacing w:val="-4"/>
          <w:sz w:val="24"/>
        </w:rPr>
        <w:t> </w:t>
      </w:r>
      <w:r>
        <w:rPr>
          <w:sz w:val="24"/>
        </w:rPr>
        <w:t>(2012).</w:t>
      </w:r>
      <w:r>
        <w:rPr>
          <w:spacing w:val="-4"/>
          <w:sz w:val="24"/>
        </w:rPr>
        <w:t> </w:t>
      </w:r>
      <w:r>
        <w:rPr>
          <w:sz w:val="24"/>
        </w:rPr>
        <w:t>Giant</w:t>
      </w:r>
      <w:r>
        <w:rPr>
          <w:spacing w:val="-3"/>
          <w:sz w:val="24"/>
        </w:rPr>
        <w:t> </w:t>
      </w:r>
      <w:r>
        <w:rPr>
          <w:sz w:val="24"/>
        </w:rPr>
        <w:t>non-functional</w:t>
      </w:r>
      <w:r>
        <w:rPr>
          <w:spacing w:val="-4"/>
          <w:sz w:val="24"/>
        </w:rPr>
        <w:t> </w:t>
      </w:r>
      <w:r>
        <w:rPr>
          <w:sz w:val="24"/>
        </w:rPr>
        <w:t>adrenal</w:t>
      </w:r>
      <w:r>
        <w:rPr>
          <w:spacing w:val="-3"/>
          <w:sz w:val="24"/>
        </w:rPr>
        <w:t> </w:t>
      </w:r>
      <w:r>
        <w:rPr>
          <w:sz w:val="24"/>
        </w:rPr>
        <w:t>adenoma:</w:t>
      </w:r>
      <w:r>
        <w:rPr>
          <w:spacing w:val="-3"/>
          <w:sz w:val="24"/>
        </w:rPr>
        <w:t> </w:t>
      </w:r>
      <w:r>
        <w:rPr>
          <w:sz w:val="24"/>
        </w:rPr>
        <w:t>A</w:t>
      </w:r>
      <w:r>
        <w:rPr>
          <w:spacing w:val="-2"/>
          <w:sz w:val="24"/>
        </w:rPr>
        <w:t> </w:t>
      </w:r>
      <w:r>
        <w:rPr>
          <w:sz w:val="24"/>
        </w:rPr>
        <w:t>case report. Oncology Letters, 5(1), 378</w:t>
      </w:r>
      <w:r>
        <w:rPr>
          <w:rFonts w:ascii="Arial" w:hAnsi="Arial"/>
          <w:sz w:val="24"/>
        </w:rPr>
        <w:t>–</w:t>
      </w:r>
      <w:r>
        <w:rPr>
          <w:sz w:val="24"/>
        </w:rPr>
        <w:t>380.</w:t>
      </w:r>
      <w:r>
        <w:rPr>
          <w:spacing w:val="-10"/>
          <w:sz w:val="24"/>
        </w:rPr>
        <w:t> </w:t>
      </w:r>
      <w:r>
        <w:rPr>
          <w:sz w:val="24"/>
        </w:rPr>
        <w:t>https://doi.org/10.3892/ol.2012.978</w:t>
      </w:r>
    </w:p>
    <w:p>
      <w:pPr>
        <w:pStyle w:val="ListParagraph"/>
        <w:numPr>
          <w:ilvl w:val="1"/>
          <w:numId w:val="1"/>
        </w:numPr>
        <w:tabs>
          <w:tab w:pos="821" w:val="left" w:leader="none"/>
        </w:tabs>
        <w:spacing w:line="360" w:lineRule="auto" w:before="0" w:after="0"/>
        <w:ind w:left="821" w:right="172" w:hanging="360"/>
        <w:jc w:val="left"/>
        <w:rPr>
          <w:sz w:val="24"/>
        </w:rPr>
      </w:pPr>
      <w:r>
        <w:rPr>
          <w:sz w:val="24"/>
        </w:rPr>
        <w:t>Chakinala,</w:t>
      </w:r>
      <w:r>
        <w:rPr>
          <w:spacing w:val="-9"/>
          <w:sz w:val="24"/>
        </w:rPr>
        <w:t> </w:t>
      </w:r>
      <w:r>
        <w:rPr>
          <w:sz w:val="24"/>
        </w:rPr>
        <w:t>R.</w:t>
      </w:r>
      <w:r>
        <w:rPr>
          <w:spacing w:val="-9"/>
          <w:sz w:val="24"/>
        </w:rPr>
        <w:t> </w:t>
      </w:r>
      <w:r>
        <w:rPr>
          <w:sz w:val="24"/>
        </w:rPr>
        <w:t>C.,</w:t>
      </w:r>
      <w:r>
        <w:rPr>
          <w:spacing w:val="-13"/>
          <w:sz w:val="24"/>
        </w:rPr>
        <w:t> </w:t>
      </w:r>
      <w:r>
        <w:rPr>
          <w:sz w:val="24"/>
        </w:rPr>
        <w:t>&amp;</w:t>
      </w:r>
      <w:r>
        <w:rPr>
          <w:spacing w:val="-11"/>
          <w:sz w:val="24"/>
        </w:rPr>
        <w:t> </w:t>
      </w:r>
      <w:r>
        <w:rPr>
          <w:sz w:val="24"/>
        </w:rPr>
        <w:t>Khatri,</w:t>
      </w:r>
      <w:r>
        <w:rPr>
          <w:spacing w:val="-13"/>
          <w:sz w:val="24"/>
        </w:rPr>
        <w:t> </w:t>
      </w:r>
      <w:r>
        <w:rPr>
          <w:sz w:val="24"/>
        </w:rPr>
        <w:t>A.</w:t>
      </w:r>
      <w:r>
        <w:rPr>
          <w:spacing w:val="-9"/>
          <w:sz w:val="24"/>
        </w:rPr>
        <w:t> </w:t>
      </w:r>
      <w:r>
        <w:rPr>
          <w:sz w:val="24"/>
        </w:rPr>
        <w:t>M.</w:t>
      </w:r>
      <w:r>
        <w:rPr>
          <w:spacing w:val="-13"/>
          <w:sz w:val="24"/>
        </w:rPr>
        <w:t> </w:t>
      </w:r>
      <w:r>
        <w:rPr>
          <w:sz w:val="24"/>
        </w:rPr>
        <w:t>(2020).</w:t>
      </w:r>
      <w:r>
        <w:rPr>
          <w:spacing w:val="-10"/>
          <w:sz w:val="24"/>
        </w:rPr>
        <w:t> </w:t>
      </w:r>
      <w:r>
        <w:rPr>
          <w:sz w:val="24"/>
        </w:rPr>
        <w:t>Gastrointestinal</w:t>
      </w:r>
      <w:r>
        <w:rPr>
          <w:spacing w:val="-3"/>
          <w:sz w:val="24"/>
        </w:rPr>
        <w:t> </w:t>
      </w:r>
      <w:r>
        <w:rPr>
          <w:sz w:val="24"/>
        </w:rPr>
        <w:t>Tuberculosis.</w:t>
      </w:r>
      <w:r>
        <w:rPr>
          <w:spacing w:val="-9"/>
          <w:sz w:val="24"/>
        </w:rPr>
        <w:t> </w:t>
      </w:r>
      <w:r>
        <w:rPr>
          <w:sz w:val="24"/>
        </w:rPr>
        <w:t>PubMed;</w:t>
      </w:r>
      <w:r>
        <w:rPr>
          <w:spacing w:val="-8"/>
          <w:sz w:val="24"/>
        </w:rPr>
        <w:t> </w:t>
      </w:r>
      <w:r>
        <w:rPr>
          <w:sz w:val="24"/>
        </w:rPr>
        <w:t>StatPearls Publishing.</w:t>
      </w:r>
      <w:r>
        <w:rPr>
          <w:spacing w:val="-2"/>
          <w:sz w:val="24"/>
        </w:rPr>
        <w:t> </w:t>
      </w:r>
      <w:r>
        <w:rPr>
          <w:sz w:val="24"/>
        </w:rPr>
        <w:t>https://</w:t>
      </w:r>
      <w:hyperlink r:id="rId9">
        <w:r>
          <w:rPr>
            <w:sz w:val="24"/>
          </w:rPr>
          <w:t>www.ncbi.nlm.nih.gov/books/NBK556115/</w:t>
        </w:r>
      </w:hyperlink>
    </w:p>
    <w:p>
      <w:pPr>
        <w:pStyle w:val="ListParagraph"/>
        <w:numPr>
          <w:ilvl w:val="1"/>
          <w:numId w:val="1"/>
        </w:numPr>
        <w:tabs>
          <w:tab w:pos="821" w:val="left" w:leader="none"/>
        </w:tabs>
        <w:spacing w:line="355" w:lineRule="auto" w:before="2" w:after="0"/>
        <w:ind w:left="821" w:right="179" w:hanging="360"/>
        <w:jc w:val="left"/>
        <w:rPr>
          <w:sz w:val="24"/>
        </w:rPr>
      </w:pPr>
      <w:r>
        <w:rPr>
          <w:sz w:val="24"/>
        </w:rPr>
        <w:t>Rathi, P., &amp; Gambhire, P. Abdominal Tuberculosis. J Assoc Physicians India. 2016 Feb;64(2):38-47</w:t>
      </w:r>
    </w:p>
    <w:p>
      <w:pPr>
        <w:pStyle w:val="ListParagraph"/>
        <w:numPr>
          <w:ilvl w:val="1"/>
          <w:numId w:val="1"/>
        </w:numPr>
        <w:tabs>
          <w:tab w:pos="821" w:val="left" w:leader="none"/>
        </w:tabs>
        <w:spacing w:line="240" w:lineRule="auto" w:before="8" w:after="0"/>
        <w:ind w:left="821" w:right="0" w:hanging="361"/>
        <w:jc w:val="left"/>
        <w:rPr>
          <w:sz w:val="24"/>
        </w:rPr>
      </w:pPr>
      <w:r>
        <w:rPr>
          <w:sz w:val="24"/>
        </w:rPr>
        <w:t>Kasulke,</w:t>
      </w:r>
      <w:r>
        <w:rPr>
          <w:spacing w:val="7"/>
          <w:sz w:val="24"/>
        </w:rPr>
        <w:t> </w:t>
      </w:r>
      <w:r>
        <w:rPr>
          <w:sz w:val="24"/>
        </w:rPr>
        <w:t>R.</w:t>
      </w:r>
      <w:r>
        <w:rPr>
          <w:spacing w:val="7"/>
          <w:sz w:val="24"/>
        </w:rPr>
        <w:t> </w:t>
      </w:r>
      <w:r>
        <w:rPr>
          <w:sz w:val="24"/>
        </w:rPr>
        <w:t>J.</w:t>
      </w:r>
      <w:r>
        <w:rPr>
          <w:spacing w:val="6"/>
          <w:sz w:val="24"/>
        </w:rPr>
        <w:t> </w:t>
      </w:r>
      <w:r>
        <w:rPr>
          <w:sz w:val="24"/>
        </w:rPr>
        <w:t>(1981).</w:t>
      </w:r>
      <w:r>
        <w:rPr>
          <w:spacing w:val="7"/>
          <w:sz w:val="24"/>
        </w:rPr>
        <w:t> </w:t>
      </w:r>
      <w:r>
        <w:rPr>
          <w:sz w:val="24"/>
        </w:rPr>
        <w:t>Primary</w:t>
      </w:r>
      <w:r>
        <w:rPr>
          <w:spacing w:val="9"/>
          <w:sz w:val="24"/>
        </w:rPr>
        <w:t> </w:t>
      </w:r>
      <w:r>
        <w:rPr>
          <w:sz w:val="24"/>
        </w:rPr>
        <w:t>Tuberculous</w:t>
      </w:r>
      <w:r>
        <w:rPr>
          <w:spacing w:val="8"/>
          <w:sz w:val="24"/>
        </w:rPr>
        <w:t> </w:t>
      </w:r>
      <w:r>
        <w:rPr>
          <w:sz w:val="24"/>
        </w:rPr>
        <w:t>Enterocolitisrome</w:t>
      </w:r>
      <w:r>
        <w:rPr>
          <w:spacing w:val="9"/>
          <w:sz w:val="24"/>
        </w:rPr>
        <w:t> </w:t>
      </w:r>
      <w:r>
        <w:rPr>
          <w:sz w:val="24"/>
        </w:rPr>
        <w:t>(K.</w:t>
      </w:r>
      <w:r>
        <w:rPr>
          <w:spacing w:val="7"/>
          <w:sz w:val="24"/>
        </w:rPr>
        <w:t> </w:t>
      </w:r>
      <w:r>
        <w:rPr>
          <w:sz w:val="24"/>
        </w:rPr>
        <w:t>R.</w:t>
      </w:r>
      <w:r>
        <w:rPr>
          <w:spacing w:val="14"/>
          <w:sz w:val="24"/>
        </w:rPr>
        <w:t> </w:t>
      </w:r>
      <w:r>
        <w:rPr>
          <w:sz w:val="24"/>
        </w:rPr>
        <w:t>Feingold,</w:t>
      </w:r>
      <w:r>
        <w:rPr>
          <w:spacing w:val="7"/>
          <w:sz w:val="24"/>
        </w:rPr>
        <w:t> </w:t>
      </w:r>
      <w:r>
        <w:rPr>
          <w:sz w:val="24"/>
        </w:rPr>
        <w:t>B.</w:t>
      </w:r>
      <w:r>
        <w:rPr>
          <w:spacing w:val="7"/>
          <w:sz w:val="24"/>
        </w:rPr>
        <w:t> </w:t>
      </w:r>
      <w:r>
        <w:rPr>
          <w:sz w:val="24"/>
        </w:rPr>
        <w:t>Anawalt,</w:t>
      </w:r>
    </w:p>
    <w:p>
      <w:pPr>
        <w:pStyle w:val="BodyText"/>
        <w:spacing w:line="360" w:lineRule="auto" w:before="147"/>
        <w:ind w:left="821" w:right="181"/>
        <w:jc w:val="both"/>
      </w:pPr>
      <w:r>
        <w:rPr/>
        <w:t>A. Boyce, G. Chrousos, W. W. de Herder, K. Dungan, A. Grossman, J. M. Hershman, H. J. Hofland, G. Kaltsas, C. Koch, P. Ko. Archives of Surgery, 116(1), 110. https://doi.org/10.1001/archsurg.1981.01380130086019</w:t>
      </w:r>
    </w:p>
    <w:p>
      <w:pPr>
        <w:pStyle w:val="ListParagraph"/>
        <w:numPr>
          <w:ilvl w:val="1"/>
          <w:numId w:val="1"/>
        </w:numPr>
        <w:tabs>
          <w:tab w:pos="821" w:val="left" w:leader="none"/>
        </w:tabs>
        <w:spacing w:line="360" w:lineRule="auto" w:before="2" w:after="0"/>
        <w:ind w:left="821" w:right="177" w:hanging="360"/>
        <w:jc w:val="both"/>
        <w:rPr>
          <w:sz w:val="24"/>
        </w:rPr>
      </w:pPr>
      <w:r>
        <w:rPr>
          <w:sz w:val="24"/>
        </w:rPr>
        <w:t>Narasimhan, P., Wood, J., MacIntyre, C. R., &amp; Mathai, D. (2013). Risk Factors for Tuberculosis. Pulmonary Medicine, 2013, 1</w:t>
      </w:r>
      <w:r>
        <w:rPr>
          <w:rFonts w:ascii="Arial" w:hAnsi="Arial"/>
          <w:sz w:val="24"/>
        </w:rPr>
        <w:t>–</w:t>
      </w:r>
      <w:r>
        <w:rPr>
          <w:sz w:val="24"/>
        </w:rPr>
        <w:t>11.</w:t>
      </w:r>
      <w:r>
        <w:rPr>
          <w:spacing w:val="-25"/>
          <w:sz w:val="24"/>
        </w:rPr>
        <w:t> </w:t>
      </w:r>
      <w:r>
        <w:rPr>
          <w:sz w:val="24"/>
        </w:rPr>
        <w:t>https://doi.org/10.1155/2013/828939</w:t>
      </w:r>
    </w:p>
    <w:p>
      <w:pPr>
        <w:pStyle w:val="ListParagraph"/>
        <w:numPr>
          <w:ilvl w:val="1"/>
          <w:numId w:val="1"/>
        </w:numPr>
        <w:tabs>
          <w:tab w:pos="821" w:val="left" w:leader="none"/>
        </w:tabs>
        <w:spacing w:line="357" w:lineRule="auto" w:before="1" w:after="0"/>
        <w:ind w:left="821" w:right="180" w:hanging="360"/>
        <w:jc w:val="both"/>
        <w:rPr>
          <w:sz w:val="24"/>
        </w:rPr>
      </w:pPr>
      <w:r>
        <w:rPr>
          <w:sz w:val="24"/>
        </w:rPr>
        <w:t>Machuca, I., Vidal, E., de la Torre-Cisneros, J., &amp; Rivero-Román, A. (2018). Tuberculosis in immunosuppressed patients. Enfermedades Infecciosas Y Microbiologia Clinica (English Ed.), 36(6), 366</w:t>
      </w:r>
      <w:r>
        <w:rPr>
          <w:rFonts w:ascii="Arial" w:hAnsi="Arial"/>
          <w:sz w:val="24"/>
        </w:rPr>
        <w:t>–</w:t>
      </w:r>
      <w:r>
        <w:rPr>
          <w:sz w:val="24"/>
        </w:rPr>
        <w:t>374.</w:t>
      </w:r>
      <w:r>
        <w:rPr>
          <w:spacing w:val="-5"/>
          <w:sz w:val="24"/>
        </w:rPr>
        <w:t> </w:t>
      </w:r>
      <w:r>
        <w:rPr>
          <w:sz w:val="24"/>
        </w:rPr>
        <w:t>https://doi.org/10.1016/j.eimce.2018.04.009</w:t>
      </w:r>
    </w:p>
    <w:p>
      <w:pPr>
        <w:pStyle w:val="ListParagraph"/>
        <w:numPr>
          <w:ilvl w:val="1"/>
          <w:numId w:val="1"/>
        </w:numPr>
        <w:tabs>
          <w:tab w:pos="821" w:val="left" w:leader="none"/>
        </w:tabs>
        <w:spacing w:line="360" w:lineRule="auto" w:before="6" w:after="0"/>
        <w:ind w:left="821" w:right="173" w:hanging="360"/>
        <w:jc w:val="both"/>
        <w:rPr>
          <w:sz w:val="24"/>
        </w:rPr>
      </w:pPr>
      <w:r>
        <w:rPr>
          <w:sz w:val="24"/>
        </w:rPr>
        <w:t>Jick,</w:t>
      </w:r>
      <w:r>
        <w:rPr>
          <w:spacing w:val="-7"/>
          <w:sz w:val="24"/>
        </w:rPr>
        <w:t> </w:t>
      </w:r>
      <w:r>
        <w:rPr>
          <w:sz w:val="24"/>
        </w:rPr>
        <w:t>S.</w:t>
      </w:r>
      <w:r>
        <w:rPr>
          <w:spacing w:val="-8"/>
          <w:sz w:val="24"/>
        </w:rPr>
        <w:t> </w:t>
      </w:r>
      <w:r>
        <w:rPr>
          <w:sz w:val="24"/>
        </w:rPr>
        <w:t>S.,</w:t>
      </w:r>
      <w:r>
        <w:rPr>
          <w:spacing w:val="-3"/>
          <w:sz w:val="24"/>
        </w:rPr>
        <w:t> </w:t>
      </w:r>
      <w:r>
        <w:rPr>
          <w:sz w:val="24"/>
        </w:rPr>
        <w:t>Lieberman,</w:t>
      </w:r>
      <w:r>
        <w:rPr>
          <w:spacing w:val="-1"/>
          <w:sz w:val="24"/>
        </w:rPr>
        <w:t> </w:t>
      </w:r>
      <w:r>
        <w:rPr>
          <w:sz w:val="24"/>
        </w:rPr>
        <w:t>E.</w:t>
      </w:r>
      <w:r>
        <w:rPr>
          <w:spacing w:val="-8"/>
          <w:sz w:val="24"/>
        </w:rPr>
        <w:t> </w:t>
      </w:r>
      <w:r>
        <w:rPr>
          <w:sz w:val="24"/>
        </w:rPr>
        <w:t>S.,</w:t>
      </w:r>
      <w:r>
        <w:rPr>
          <w:spacing w:val="-8"/>
          <w:sz w:val="24"/>
        </w:rPr>
        <w:t> </w:t>
      </w:r>
      <w:r>
        <w:rPr>
          <w:sz w:val="24"/>
        </w:rPr>
        <w:t>Rahman,</w:t>
      </w:r>
      <w:r>
        <w:rPr>
          <w:spacing w:val="-6"/>
          <w:sz w:val="24"/>
        </w:rPr>
        <w:t> </w:t>
      </w:r>
      <w:r>
        <w:rPr>
          <w:sz w:val="24"/>
        </w:rPr>
        <w:t>M.</w:t>
      </w:r>
      <w:r>
        <w:rPr>
          <w:spacing w:val="-7"/>
          <w:sz w:val="24"/>
        </w:rPr>
        <w:t> </w:t>
      </w:r>
      <w:r>
        <w:rPr>
          <w:sz w:val="24"/>
        </w:rPr>
        <w:t>U.,</w:t>
      </w:r>
      <w:r>
        <w:rPr>
          <w:spacing w:val="-3"/>
          <w:sz w:val="24"/>
        </w:rPr>
        <w:t> </w:t>
      </w:r>
      <w:r>
        <w:rPr>
          <w:sz w:val="24"/>
        </w:rPr>
        <w:t>&amp;</w:t>
      </w:r>
      <w:r>
        <w:rPr>
          <w:spacing w:val="-6"/>
          <w:sz w:val="24"/>
        </w:rPr>
        <w:t> </w:t>
      </w:r>
      <w:r>
        <w:rPr>
          <w:sz w:val="24"/>
        </w:rPr>
        <w:t>Choi,</w:t>
      </w:r>
      <w:r>
        <w:rPr>
          <w:spacing w:val="-6"/>
          <w:sz w:val="24"/>
        </w:rPr>
        <w:t> </w:t>
      </w:r>
      <w:r>
        <w:rPr>
          <w:spacing w:val="2"/>
          <w:sz w:val="24"/>
        </w:rPr>
        <w:t>H.</w:t>
      </w:r>
      <w:r>
        <w:rPr>
          <w:spacing w:val="-8"/>
          <w:sz w:val="24"/>
        </w:rPr>
        <w:t> </w:t>
      </w:r>
      <w:r>
        <w:rPr>
          <w:sz w:val="24"/>
        </w:rPr>
        <w:t>K.</w:t>
      </w:r>
      <w:r>
        <w:rPr>
          <w:spacing w:val="-6"/>
          <w:sz w:val="24"/>
        </w:rPr>
        <w:t> </w:t>
      </w:r>
      <w:r>
        <w:rPr>
          <w:sz w:val="24"/>
        </w:rPr>
        <w:t>(2006).</w:t>
      </w:r>
      <w:r>
        <w:rPr>
          <w:spacing w:val="-8"/>
          <w:sz w:val="24"/>
        </w:rPr>
        <w:t> </w:t>
      </w:r>
      <w:r>
        <w:rPr>
          <w:sz w:val="24"/>
        </w:rPr>
        <w:t>Glucocorticoid</w:t>
      </w:r>
      <w:r>
        <w:rPr>
          <w:spacing w:val="-3"/>
          <w:sz w:val="24"/>
        </w:rPr>
        <w:t> </w:t>
      </w:r>
      <w:r>
        <w:rPr>
          <w:sz w:val="24"/>
        </w:rPr>
        <w:t>use,</w:t>
      </w:r>
      <w:r>
        <w:rPr>
          <w:spacing w:val="-6"/>
          <w:sz w:val="24"/>
        </w:rPr>
        <w:t> </w:t>
      </w:r>
      <w:r>
        <w:rPr>
          <w:sz w:val="24"/>
        </w:rPr>
        <w:t>other associated factors, and the risk of tuberculosis. Arthritis &amp; Rheumatism, 55(1), 19</w:t>
      </w:r>
      <w:r>
        <w:rPr>
          <w:rFonts w:ascii="Arial" w:hAnsi="Arial"/>
          <w:sz w:val="24"/>
        </w:rPr>
        <w:t>–</w:t>
      </w:r>
      <w:r>
        <w:rPr>
          <w:sz w:val="24"/>
        </w:rPr>
        <w:t>26. https://doi.org/10.1002/art.21705</w:t>
      </w:r>
    </w:p>
    <w:p>
      <w:pPr>
        <w:spacing w:after="0" w:line="360" w:lineRule="auto"/>
        <w:jc w:val="both"/>
        <w:rPr>
          <w:sz w:val="24"/>
        </w:rPr>
        <w:sectPr>
          <w:pgSz w:w="12240" w:h="15840"/>
          <w:pgMar w:top="1420" w:bottom="280" w:left="1340" w:right="1260"/>
        </w:sectPr>
      </w:pPr>
    </w:p>
    <w:p>
      <w:pPr>
        <w:pStyle w:val="ListParagraph"/>
        <w:numPr>
          <w:ilvl w:val="1"/>
          <w:numId w:val="1"/>
        </w:numPr>
        <w:tabs>
          <w:tab w:pos="821" w:val="left" w:leader="none"/>
        </w:tabs>
        <w:spacing w:line="360" w:lineRule="auto" w:before="22" w:after="0"/>
        <w:ind w:left="821" w:right="178" w:hanging="360"/>
        <w:jc w:val="both"/>
        <w:rPr>
          <w:sz w:val="24"/>
        </w:rPr>
      </w:pPr>
      <w:r>
        <w:rPr>
          <w:sz w:val="24"/>
        </w:rPr>
        <w:t>Machuca, I., Vidal, E., de la Torre-Cisneros, J., &amp; Rivero-Román, A. (2018). Tuberculosis in immunosuppressed patients. Enfermedades Infecciosas Y Microbiologia Clinica (English Ed.), 36(6), 366</w:t>
      </w:r>
      <w:r>
        <w:rPr>
          <w:rFonts w:ascii="Arial" w:hAnsi="Arial"/>
          <w:sz w:val="24"/>
        </w:rPr>
        <w:t>–</w:t>
      </w:r>
      <w:r>
        <w:rPr>
          <w:sz w:val="24"/>
        </w:rPr>
        <w:t>374.</w:t>
      </w:r>
      <w:r>
        <w:rPr>
          <w:spacing w:val="-5"/>
          <w:sz w:val="24"/>
        </w:rPr>
        <w:t> </w:t>
      </w:r>
      <w:r>
        <w:rPr>
          <w:sz w:val="24"/>
        </w:rPr>
        <w:t>https://doi.org/10.1016/j.eimce.2018.04.009</w:t>
      </w:r>
    </w:p>
    <w:p>
      <w:pPr>
        <w:pStyle w:val="ListParagraph"/>
        <w:numPr>
          <w:ilvl w:val="1"/>
          <w:numId w:val="1"/>
        </w:numPr>
        <w:tabs>
          <w:tab w:pos="821" w:val="left" w:leader="none"/>
          <w:tab w:pos="2246" w:val="left" w:leader="none"/>
          <w:tab w:pos="3041" w:val="left" w:leader="none"/>
          <w:tab w:pos="5021" w:val="left" w:leader="none"/>
          <w:tab w:pos="6495" w:val="left" w:leader="none"/>
          <w:tab w:pos="7271" w:val="left" w:leader="none"/>
        </w:tabs>
        <w:spacing w:line="357" w:lineRule="auto" w:before="2" w:after="0"/>
        <w:ind w:left="821" w:right="178" w:hanging="360"/>
        <w:jc w:val="both"/>
        <w:rPr>
          <w:sz w:val="24"/>
        </w:rPr>
      </w:pPr>
      <w:r>
        <w:rPr>
          <w:sz w:val="24"/>
        </w:rPr>
        <w:t>Xie, Y., Xie, J., Meijer, A. H., &amp; Schaaf, M. J. M. (2021). Glucocorticoid-Induced Exacerbation of Mycobacterial Infection Is Associated With a Reduced Phagocytic Capacity</w:t>
        <w:tab/>
        <w:t>of</w:t>
        <w:tab/>
        <w:t>Macrophages.</w:t>
        <w:tab/>
        <w:t>Frontiers</w:t>
        <w:tab/>
        <w:t>in</w:t>
        <w:tab/>
        <w:t>Immunology,</w:t>
      </w:r>
      <w:r>
        <w:rPr>
          <w:spacing w:val="46"/>
          <w:sz w:val="24"/>
        </w:rPr>
        <w:t> </w:t>
      </w:r>
      <w:r>
        <w:rPr>
          <w:sz w:val="24"/>
        </w:rPr>
        <w:t>12.</w:t>
      </w:r>
    </w:p>
    <w:p>
      <w:pPr>
        <w:pStyle w:val="BodyText"/>
        <w:spacing w:before="6"/>
        <w:ind w:left="821"/>
      </w:pPr>
      <w:r>
        <w:rPr/>
        <w:t>https://doi.org/10.3389/fimmu.2021.618569</w:t>
      </w:r>
    </w:p>
    <w:p>
      <w:pPr>
        <w:pStyle w:val="ListParagraph"/>
        <w:numPr>
          <w:ilvl w:val="1"/>
          <w:numId w:val="1"/>
        </w:numPr>
        <w:tabs>
          <w:tab w:pos="821" w:val="left" w:leader="none"/>
        </w:tabs>
        <w:spacing w:line="360" w:lineRule="auto" w:before="147" w:after="0"/>
        <w:ind w:left="821" w:right="175" w:hanging="360"/>
        <w:jc w:val="both"/>
        <w:rPr>
          <w:sz w:val="24"/>
        </w:rPr>
      </w:pPr>
      <w:r>
        <w:rPr>
          <w:sz w:val="24"/>
        </w:rPr>
        <w:t>Wang, J., Wang, R., Wang, H., Yang, X., Yang, J., Xiong, W., Wen, Q., &amp; Ma, L. (2017). Glucocorticoids Suppress Antimicrobial Autophagy and Nitric Oxide Production and Facilitate Mycobacterial Survival in Macrophages. Scientific Reports, 7(1). https://doi.org/10.1038/s41598-017-01174-9</w:t>
      </w:r>
    </w:p>
    <w:p>
      <w:pPr>
        <w:pStyle w:val="ListParagraph"/>
        <w:numPr>
          <w:ilvl w:val="1"/>
          <w:numId w:val="1"/>
        </w:numPr>
        <w:tabs>
          <w:tab w:pos="821" w:val="left" w:leader="none"/>
        </w:tabs>
        <w:spacing w:line="360" w:lineRule="auto" w:before="2" w:after="0"/>
        <w:ind w:left="821" w:right="178" w:hanging="360"/>
        <w:jc w:val="both"/>
        <w:rPr>
          <w:sz w:val="24"/>
        </w:rPr>
      </w:pPr>
      <w:r>
        <w:rPr>
          <w:rFonts w:ascii="Arial" w:hAnsi="Arial"/>
          <w:w w:val="95"/>
          <w:sz w:val="24"/>
        </w:rPr>
        <w:t>Graham,</w:t>
      </w:r>
      <w:r>
        <w:rPr>
          <w:rFonts w:ascii="Arial" w:hAnsi="Arial"/>
          <w:spacing w:val="-32"/>
          <w:w w:val="95"/>
          <w:sz w:val="24"/>
        </w:rPr>
        <w:t> </w:t>
      </w:r>
      <w:r>
        <w:rPr>
          <w:rFonts w:ascii="Arial" w:hAnsi="Arial"/>
          <w:w w:val="95"/>
          <w:sz w:val="24"/>
        </w:rPr>
        <w:t>B.</w:t>
      </w:r>
      <w:r>
        <w:rPr>
          <w:rFonts w:ascii="Arial" w:hAnsi="Arial"/>
          <w:spacing w:val="-32"/>
          <w:w w:val="95"/>
          <w:sz w:val="24"/>
        </w:rPr>
        <w:t> </w:t>
      </w:r>
      <w:r>
        <w:rPr>
          <w:rFonts w:ascii="Arial" w:hAnsi="Arial"/>
          <w:w w:val="95"/>
          <w:sz w:val="24"/>
        </w:rPr>
        <w:t>S.,</w:t>
      </w:r>
      <w:r>
        <w:rPr>
          <w:rFonts w:ascii="Arial" w:hAnsi="Arial"/>
          <w:spacing w:val="-33"/>
          <w:w w:val="95"/>
          <w:sz w:val="24"/>
        </w:rPr>
        <w:t> </w:t>
      </w:r>
      <w:r>
        <w:rPr>
          <w:rFonts w:ascii="Arial" w:hAnsi="Arial"/>
          <w:w w:val="95"/>
          <w:sz w:val="24"/>
        </w:rPr>
        <w:t>&amp;</w:t>
      </w:r>
      <w:r>
        <w:rPr>
          <w:rFonts w:ascii="Arial" w:hAnsi="Arial"/>
          <w:spacing w:val="-31"/>
          <w:w w:val="95"/>
          <w:sz w:val="24"/>
        </w:rPr>
        <w:t> </w:t>
      </w:r>
      <w:r>
        <w:rPr>
          <w:rFonts w:ascii="Arial" w:hAnsi="Arial"/>
          <w:w w:val="95"/>
          <w:sz w:val="24"/>
        </w:rPr>
        <w:t>Tucker,</w:t>
      </w:r>
      <w:r>
        <w:rPr>
          <w:rFonts w:ascii="Arial" w:hAnsi="Arial"/>
          <w:spacing w:val="-32"/>
          <w:w w:val="95"/>
          <w:sz w:val="24"/>
        </w:rPr>
        <w:t> </w:t>
      </w:r>
      <w:r>
        <w:rPr>
          <w:rFonts w:ascii="Arial" w:hAnsi="Arial"/>
          <w:w w:val="95"/>
          <w:sz w:val="24"/>
        </w:rPr>
        <w:t>W.</w:t>
      </w:r>
      <w:r>
        <w:rPr>
          <w:rFonts w:ascii="Arial" w:hAnsi="Arial"/>
          <w:spacing w:val="-34"/>
          <w:w w:val="95"/>
          <w:sz w:val="24"/>
        </w:rPr>
        <w:t> </w:t>
      </w:r>
      <w:r>
        <w:rPr>
          <w:rFonts w:ascii="Arial" w:hAnsi="Arial"/>
          <w:w w:val="95"/>
          <w:sz w:val="24"/>
        </w:rPr>
        <w:t>S.</w:t>
      </w:r>
      <w:r>
        <w:rPr>
          <w:rFonts w:ascii="Arial" w:hAnsi="Arial"/>
          <w:spacing w:val="-32"/>
          <w:w w:val="95"/>
          <w:sz w:val="24"/>
        </w:rPr>
        <w:t> </w:t>
      </w:r>
      <w:r>
        <w:rPr>
          <w:rFonts w:ascii="Arial" w:hAnsi="Arial"/>
          <w:w w:val="95"/>
          <w:sz w:val="24"/>
        </w:rPr>
        <w:t>(1984).</w:t>
      </w:r>
      <w:r>
        <w:rPr>
          <w:rFonts w:ascii="Arial" w:hAnsi="Arial"/>
          <w:spacing w:val="-33"/>
          <w:w w:val="95"/>
          <w:sz w:val="24"/>
        </w:rPr>
        <w:t> </w:t>
      </w:r>
      <w:r>
        <w:rPr>
          <w:rFonts w:ascii="Arial" w:hAnsi="Arial"/>
          <w:w w:val="95"/>
          <w:sz w:val="24"/>
        </w:rPr>
        <w:t>Opportunistic</w:t>
      </w:r>
      <w:r>
        <w:rPr>
          <w:rFonts w:ascii="Arial" w:hAnsi="Arial"/>
          <w:spacing w:val="-33"/>
          <w:w w:val="95"/>
          <w:sz w:val="24"/>
        </w:rPr>
        <w:t> </w:t>
      </w:r>
      <w:r>
        <w:rPr>
          <w:rFonts w:ascii="Arial" w:hAnsi="Arial"/>
          <w:w w:val="95"/>
          <w:sz w:val="24"/>
        </w:rPr>
        <w:t>infections</w:t>
      </w:r>
      <w:r>
        <w:rPr>
          <w:rFonts w:ascii="Arial" w:hAnsi="Arial"/>
          <w:spacing w:val="-31"/>
          <w:w w:val="95"/>
          <w:sz w:val="24"/>
        </w:rPr>
        <w:t> </w:t>
      </w:r>
      <w:r>
        <w:rPr>
          <w:rFonts w:ascii="Arial" w:hAnsi="Arial"/>
          <w:w w:val="95"/>
          <w:sz w:val="24"/>
        </w:rPr>
        <w:t>in</w:t>
      </w:r>
      <w:r>
        <w:rPr>
          <w:rFonts w:ascii="Arial" w:hAnsi="Arial"/>
          <w:spacing w:val="-32"/>
          <w:w w:val="95"/>
          <w:sz w:val="24"/>
        </w:rPr>
        <w:t> </w:t>
      </w:r>
      <w:r>
        <w:rPr>
          <w:rFonts w:ascii="Arial" w:hAnsi="Arial"/>
          <w:w w:val="95"/>
          <w:sz w:val="24"/>
        </w:rPr>
        <w:t>endogenous</w:t>
      </w:r>
      <w:r>
        <w:rPr>
          <w:rFonts w:ascii="Arial" w:hAnsi="Arial"/>
          <w:spacing w:val="-31"/>
          <w:w w:val="95"/>
          <w:sz w:val="24"/>
        </w:rPr>
        <w:t> </w:t>
      </w:r>
      <w:r>
        <w:rPr>
          <w:rFonts w:ascii="Arial" w:hAnsi="Arial"/>
          <w:w w:val="95"/>
          <w:sz w:val="24"/>
        </w:rPr>
        <w:t>Cushing’s </w:t>
      </w:r>
      <w:r>
        <w:rPr>
          <w:sz w:val="24"/>
        </w:rPr>
        <w:t>syndrome. Annals of Internal Medicine, 101(3), 334</w:t>
      </w:r>
      <w:r>
        <w:rPr>
          <w:rFonts w:ascii="Arial" w:hAnsi="Arial"/>
          <w:sz w:val="24"/>
        </w:rPr>
        <w:t>–</w:t>
      </w:r>
      <w:r>
        <w:rPr>
          <w:sz w:val="24"/>
        </w:rPr>
        <w:t>338. https://doi.org/10.7326/0003- 4819-101-3-334</w:t>
      </w:r>
    </w:p>
    <w:p>
      <w:pPr>
        <w:pStyle w:val="ListParagraph"/>
        <w:numPr>
          <w:ilvl w:val="1"/>
          <w:numId w:val="1"/>
        </w:numPr>
        <w:tabs>
          <w:tab w:pos="821" w:val="left" w:leader="none"/>
        </w:tabs>
        <w:spacing w:line="360" w:lineRule="auto" w:before="0" w:after="0"/>
        <w:ind w:left="821" w:right="176" w:hanging="360"/>
        <w:jc w:val="both"/>
        <w:rPr>
          <w:sz w:val="24"/>
        </w:rPr>
      </w:pPr>
      <w:r>
        <w:rPr>
          <w:rFonts w:ascii="Arial" w:hAnsi="Arial"/>
          <w:w w:val="95"/>
          <w:sz w:val="24"/>
        </w:rPr>
        <w:t>Juszczak,</w:t>
      </w:r>
      <w:r>
        <w:rPr>
          <w:rFonts w:ascii="Arial" w:hAnsi="Arial"/>
          <w:spacing w:val="-10"/>
          <w:w w:val="95"/>
          <w:sz w:val="24"/>
        </w:rPr>
        <w:t> </w:t>
      </w:r>
      <w:r>
        <w:rPr>
          <w:rFonts w:ascii="Arial" w:hAnsi="Arial"/>
          <w:w w:val="95"/>
          <w:sz w:val="24"/>
        </w:rPr>
        <w:t>A.,</w:t>
      </w:r>
      <w:r>
        <w:rPr>
          <w:rFonts w:ascii="Arial" w:hAnsi="Arial"/>
          <w:spacing w:val="-10"/>
          <w:w w:val="95"/>
          <w:sz w:val="24"/>
        </w:rPr>
        <w:t> </w:t>
      </w:r>
      <w:r>
        <w:rPr>
          <w:rFonts w:ascii="Arial" w:hAnsi="Arial"/>
          <w:w w:val="95"/>
          <w:sz w:val="24"/>
        </w:rPr>
        <w:t>Sulentic,</w:t>
      </w:r>
      <w:r>
        <w:rPr>
          <w:rFonts w:ascii="Arial" w:hAnsi="Arial"/>
          <w:spacing w:val="-10"/>
          <w:w w:val="95"/>
          <w:sz w:val="24"/>
        </w:rPr>
        <w:t> </w:t>
      </w:r>
      <w:r>
        <w:rPr>
          <w:rFonts w:ascii="Arial" w:hAnsi="Arial"/>
          <w:w w:val="95"/>
          <w:sz w:val="24"/>
        </w:rPr>
        <w:t>P.,</w:t>
      </w:r>
      <w:r>
        <w:rPr>
          <w:rFonts w:ascii="Arial" w:hAnsi="Arial"/>
          <w:spacing w:val="-12"/>
          <w:w w:val="95"/>
          <w:sz w:val="24"/>
        </w:rPr>
        <w:t> </w:t>
      </w:r>
      <w:r>
        <w:rPr>
          <w:rFonts w:ascii="Arial" w:hAnsi="Arial"/>
          <w:w w:val="95"/>
          <w:sz w:val="24"/>
        </w:rPr>
        <w:t>&amp;</w:t>
      </w:r>
      <w:r>
        <w:rPr>
          <w:rFonts w:ascii="Arial" w:hAnsi="Arial"/>
          <w:spacing w:val="-9"/>
          <w:w w:val="95"/>
          <w:sz w:val="24"/>
        </w:rPr>
        <w:t> </w:t>
      </w:r>
      <w:r>
        <w:rPr>
          <w:rFonts w:ascii="Arial" w:hAnsi="Arial"/>
          <w:w w:val="95"/>
          <w:sz w:val="24"/>
        </w:rPr>
        <w:t>Grossman,</w:t>
      </w:r>
      <w:r>
        <w:rPr>
          <w:rFonts w:ascii="Arial" w:hAnsi="Arial"/>
          <w:spacing w:val="-10"/>
          <w:w w:val="95"/>
          <w:sz w:val="24"/>
        </w:rPr>
        <w:t> </w:t>
      </w:r>
      <w:r>
        <w:rPr>
          <w:rFonts w:ascii="Arial" w:hAnsi="Arial"/>
          <w:w w:val="95"/>
          <w:sz w:val="24"/>
        </w:rPr>
        <w:t>A.</w:t>
      </w:r>
      <w:r>
        <w:rPr>
          <w:rFonts w:ascii="Arial" w:hAnsi="Arial"/>
          <w:spacing w:val="-12"/>
          <w:w w:val="95"/>
          <w:sz w:val="24"/>
        </w:rPr>
        <w:t> </w:t>
      </w:r>
      <w:r>
        <w:rPr>
          <w:rFonts w:ascii="Arial" w:hAnsi="Arial"/>
          <w:w w:val="95"/>
          <w:sz w:val="24"/>
        </w:rPr>
        <w:t>(2000).</w:t>
      </w:r>
      <w:r>
        <w:rPr>
          <w:rFonts w:ascii="Arial" w:hAnsi="Arial"/>
          <w:spacing w:val="-13"/>
          <w:w w:val="95"/>
          <w:sz w:val="24"/>
        </w:rPr>
        <w:t> </w:t>
      </w:r>
      <w:r>
        <w:rPr>
          <w:rFonts w:ascii="Arial" w:hAnsi="Arial"/>
          <w:w w:val="95"/>
          <w:sz w:val="24"/>
        </w:rPr>
        <w:t>Cushing’s</w:t>
      </w:r>
      <w:r>
        <w:rPr>
          <w:rFonts w:ascii="Arial" w:hAnsi="Arial"/>
          <w:spacing w:val="-9"/>
          <w:w w:val="95"/>
          <w:sz w:val="24"/>
        </w:rPr>
        <w:t> </w:t>
      </w:r>
      <w:r>
        <w:rPr>
          <w:rFonts w:ascii="Arial" w:hAnsi="Arial"/>
          <w:w w:val="95"/>
          <w:sz w:val="24"/>
        </w:rPr>
        <w:t>Syndpp,</w:t>
      </w:r>
      <w:r>
        <w:rPr>
          <w:rFonts w:ascii="Arial" w:hAnsi="Arial"/>
          <w:spacing w:val="-10"/>
          <w:w w:val="95"/>
          <w:sz w:val="24"/>
        </w:rPr>
        <w:t> </w:t>
      </w:r>
      <w:r>
        <w:rPr>
          <w:rFonts w:ascii="Arial" w:hAnsi="Arial"/>
          <w:w w:val="95"/>
          <w:sz w:val="24"/>
        </w:rPr>
        <w:t>M.</w:t>
      </w:r>
      <w:r>
        <w:rPr>
          <w:rFonts w:ascii="Arial" w:hAnsi="Arial"/>
          <w:spacing w:val="-10"/>
          <w:w w:val="95"/>
          <w:sz w:val="24"/>
        </w:rPr>
        <w:t> </w:t>
      </w:r>
      <w:r>
        <w:rPr>
          <w:rFonts w:ascii="Arial" w:hAnsi="Arial"/>
          <w:w w:val="95"/>
          <w:sz w:val="24"/>
        </w:rPr>
        <w:t>Korbonits,</w:t>
      </w:r>
      <w:r>
        <w:rPr>
          <w:rFonts w:ascii="Arial" w:hAnsi="Arial"/>
          <w:spacing w:val="-9"/>
          <w:w w:val="95"/>
          <w:sz w:val="24"/>
        </w:rPr>
        <w:t> </w:t>
      </w:r>
      <w:r>
        <w:rPr>
          <w:rFonts w:ascii="Arial" w:hAnsi="Arial"/>
          <w:w w:val="95"/>
          <w:sz w:val="24"/>
        </w:rPr>
        <w:t>R. </w:t>
      </w:r>
      <w:r>
        <w:rPr>
          <w:sz w:val="24"/>
        </w:rPr>
        <w:t>McLachlan,</w:t>
      </w:r>
      <w:r>
        <w:rPr>
          <w:spacing w:val="-3"/>
          <w:sz w:val="24"/>
        </w:rPr>
        <w:t> </w:t>
      </w:r>
      <w:r>
        <w:rPr>
          <w:sz w:val="24"/>
        </w:rPr>
        <w:t>J.</w:t>
      </w:r>
      <w:r>
        <w:rPr>
          <w:spacing w:val="-3"/>
          <w:sz w:val="24"/>
        </w:rPr>
        <w:t> </w:t>
      </w:r>
      <w:r>
        <w:rPr>
          <w:sz w:val="24"/>
        </w:rPr>
        <w:t>E.</w:t>
      </w:r>
      <w:r>
        <w:rPr>
          <w:spacing w:val="-4"/>
          <w:sz w:val="24"/>
        </w:rPr>
        <w:t> </w:t>
      </w:r>
      <w:r>
        <w:rPr>
          <w:sz w:val="24"/>
        </w:rPr>
        <w:t>Morley,</w:t>
      </w:r>
      <w:r>
        <w:rPr>
          <w:spacing w:val="-2"/>
          <w:sz w:val="24"/>
        </w:rPr>
        <w:t> </w:t>
      </w:r>
      <w:r>
        <w:rPr>
          <w:sz w:val="24"/>
        </w:rPr>
        <w:t>M.</w:t>
      </w:r>
      <w:r>
        <w:rPr>
          <w:spacing w:val="-2"/>
          <w:sz w:val="24"/>
        </w:rPr>
        <w:t> </w:t>
      </w:r>
      <w:r>
        <w:rPr>
          <w:sz w:val="24"/>
        </w:rPr>
        <w:t>New,</w:t>
      </w:r>
      <w:r>
        <w:rPr>
          <w:spacing w:val="-8"/>
          <w:sz w:val="24"/>
        </w:rPr>
        <w:t> </w:t>
      </w:r>
      <w:r>
        <w:rPr>
          <w:sz w:val="24"/>
        </w:rPr>
        <w:t>J.</w:t>
      </w:r>
      <w:r>
        <w:rPr>
          <w:spacing w:val="-3"/>
          <w:sz w:val="24"/>
        </w:rPr>
        <w:t> </w:t>
      </w:r>
      <w:r>
        <w:rPr>
          <w:sz w:val="24"/>
        </w:rPr>
        <w:t>Purnell,</w:t>
      </w:r>
      <w:r>
        <w:rPr>
          <w:spacing w:val="-2"/>
          <w:sz w:val="24"/>
        </w:rPr>
        <w:t> </w:t>
      </w:r>
      <w:r>
        <w:rPr>
          <w:sz w:val="24"/>
        </w:rPr>
        <w:t>F.</w:t>
      </w:r>
      <w:r>
        <w:rPr>
          <w:spacing w:val="-8"/>
          <w:sz w:val="24"/>
        </w:rPr>
        <w:t> </w:t>
      </w:r>
      <w:r>
        <w:rPr>
          <w:sz w:val="24"/>
        </w:rPr>
        <w:t>Singer,</w:t>
      </w:r>
      <w:r>
        <w:rPr>
          <w:spacing w:val="-3"/>
          <w:sz w:val="24"/>
        </w:rPr>
        <w:t> </w:t>
      </w:r>
      <w:r>
        <w:rPr>
          <w:sz w:val="24"/>
        </w:rPr>
        <w:t>C.</w:t>
      </w:r>
      <w:r>
        <w:rPr>
          <w:spacing w:val="-8"/>
          <w:sz w:val="24"/>
        </w:rPr>
        <w:t> </w:t>
      </w:r>
      <w:r>
        <w:rPr>
          <w:sz w:val="24"/>
        </w:rPr>
        <w:t>A.</w:t>
      </w:r>
      <w:r>
        <w:rPr>
          <w:spacing w:val="-3"/>
          <w:sz w:val="24"/>
        </w:rPr>
        <w:t> </w:t>
      </w:r>
      <w:r>
        <w:rPr>
          <w:sz w:val="24"/>
        </w:rPr>
        <w:t>Stratakis,</w:t>
      </w:r>
      <w:r>
        <w:rPr>
          <w:spacing w:val="-8"/>
          <w:sz w:val="24"/>
        </w:rPr>
        <w:t> </w:t>
      </w:r>
      <w:r>
        <w:rPr>
          <w:sz w:val="24"/>
        </w:rPr>
        <w:t>&amp;</w:t>
      </w:r>
      <w:r>
        <w:rPr>
          <w:spacing w:val="-6"/>
          <w:sz w:val="24"/>
        </w:rPr>
        <w:t> </w:t>
      </w:r>
      <w:r>
        <w:rPr>
          <w:sz w:val="24"/>
        </w:rPr>
        <w:t>D.</w:t>
      </w:r>
      <w:r>
        <w:rPr>
          <w:spacing w:val="-3"/>
          <w:sz w:val="24"/>
        </w:rPr>
        <w:t> </w:t>
      </w:r>
      <w:r>
        <w:rPr>
          <w:sz w:val="24"/>
        </w:rPr>
        <w:t>L.</w:t>
      </w:r>
      <w:r>
        <w:rPr>
          <w:spacing w:val="-8"/>
          <w:sz w:val="24"/>
        </w:rPr>
        <w:t> </w:t>
      </w:r>
      <w:r>
        <w:rPr>
          <w:sz w:val="24"/>
        </w:rPr>
        <w:t>Trence,</w:t>
      </w:r>
      <w:r>
        <w:rPr>
          <w:spacing w:val="-2"/>
          <w:sz w:val="24"/>
        </w:rPr>
        <w:t> </w:t>
      </w:r>
      <w:r>
        <w:rPr>
          <w:sz w:val="24"/>
        </w:rPr>
        <w:t>Eds.). PubMed; MDText.com, Inc.</w:t>
      </w:r>
      <w:r>
        <w:rPr>
          <w:spacing w:val="-6"/>
          <w:sz w:val="24"/>
        </w:rPr>
        <w:t> </w:t>
      </w:r>
      <w:r>
        <w:rPr>
          <w:sz w:val="24"/>
        </w:rPr>
        <w:t>https://</w:t>
      </w:r>
      <w:hyperlink r:id="rId10">
        <w:r>
          <w:rPr>
            <w:sz w:val="24"/>
          </w:rPr>
          <w:t>www.ncbi.nlm.nih.gov/books/NBK279088/</w:t>
        </w:r>
      </w:hyperlink>
    </w:p>
    <w:p>
      <w:pPr>
        <w:pStyle w:val="ListParagraph"/>
        <w:numPr>
          <w:ilvl w:val="1"/>
          <w:numId w:val="1"/>
        </w:numPr>
        <w:tabs>
          <w:tab w:pos="821" w:val="left" w:leader="none"/>
        </w:tabs>
        <w:spacing w:line="372" w:lineRule="auto" w:before="0" w:after="0"/>
        <w:ind w:left="821" w:right="184" w:hanging="360"/>
        <w:jc w:val="both"/>
        <w:rPr>
          <w:sz w:val="24"/>
        </w:rPr>
      </w:pPr>
      <w:r>
        <w:rPr>
          <w:sz w:val="24"/>
        </w:rPr>
        <w:t>Scheinman, R. I., Cogswell, P. C., Lofquist, A. K., &amp; Baldwin, A. S. (1995). Role of </w:t>
      </w:r>
      <w:r>
        <w:rPr>
          <w:rFonts w:ascii="Arial" w:hAnsi="Arial"/>
          <w:w w:val="95"/>
          <w:sz w:val="24"/>
        </w:rPr>
        <w:t>Transcriptional</w:t>
      </w:r>
      <w:r>
        <w:rPr>
          <w:rFonts w:ascii="Arial" w:hAnsi="Arial"/>
          <w:spacing w:val="-41"/>
          <w:w w:val="95"/>
          <w:sz w:val="24"/>
        </w:rPr>
        <w:t> </w:t>
      </w:r>
      <w:r>
        <w:rPr>
          <w:rFonts w:ascii="Arial" w:hAnsi="Arial"/>
          <w:w w:val="95"/>
          <w:sz w:val="24"/>
        </w:rPr>
        <w:t>Activation</w:t>
      </w:r>
      <w:r>
        <w:rPr>
          <w:rFonts w:ascii="Arial" w:hAnsi="Arial"/>
          <w:spacing w:val="-41"/>
          <w:w w:val="95"/>
          <w:sz w:val="24"/>
        </w:rPr>
        <w:t> </w:t>
      </w:r>
      <w:r>
        <w:rPr>
          <w:rFonts w:ascii="Arial" w:hAnsi="Arial"/>
          <w:w w:val="95"/>
          <w:sz w:val="24"/>
        </w:rPr>
        <w:t>of</w:t>
      </w:r>
      <w:r>
        <w:rPr>
          <w:rFonts w:ascii="Arial" w:hAnsi="Arial"/>
          <w:spacing w:val="-40"/>
          <w:w w:val="95"/>
          <w:sz w:val="24"/>
        </w:rPr>
        <w:t> </w:t>
      </w:r>
      <w:r>
        <w:rPr>
          <w:rFonts w:ascii="Arial" w:hAnsi="Arial"/>
          <w:w w:val="95"/>
          <w:sz w:val="24"/>
        </w:rPr>
        <w:t>IκBα</w:t>
      </w:r>
      <w:r>
        <w:rPr>
          <w:rFonts w:ascii="Arial" w:hAnsi="Arial"/>
          <w:spacing w:val="-41"/>
          <w:w w:val="95"/>
          <w:sz w:val="24"/>
        </w:rPr>
        <w:t> </w:t>
      </w:r>
      <w:r>
        <w:rPr>
          <w:rFonts w:ascii="Arial" w:hAnsi="Arial"/>
          <w:w w:val="95"/>
          <w:sz w:val="24"/>
        </w:rPr>
        <w:t>in</w:t>
      </w:r>
      <w:r>
        <w:rPr>
          <w:rFonts w:ascii="Arial" w:hAnsi="Arial"/>
          <w:spacing w:val="-41"/>
          <w:w w:val="95"/>
          <w:sz w:val="24"/>
        </w:rPr>
        <w:t> </w:t>
      </w:r>
      <w:r>
        <w:rPr>
          <w:rFonts w:ascii="Arial" w:hAnsi="Arial"/>
          <w:w w:val="95"/>
          <w:sz w:val="24"/>
        </w:rPr>
        <w:t>Mediation</w:t>
      </w:r>
      <w:r>
        <w:rPr>
          <w:rFonts w:ascii="Arial" w:hAnsi="Arial"/>
          <w:spacing w:val="-38"/>
          <w:w w:val="95"/>
          <w:sz w:val="24"/>
        </w:rPr>
        <w:t> </w:t>
      </w:r>
      <w:r>
        <w:rPr>
          <w:rFonts w:ascii="Arial" w:hAnsi="Arial"/>
          <w:w w:val="95"/>
          <w:sz w:val="24"/>
        </w:rPr>
        <w:t>of</w:t>
      </w:r>
      <w:r>
        <w:rPr>
          <w:rFonts w:ascii="Arial" w:hAnsi="Arial"/>
          <w:spacing w:val="-40"/>
          <w:w w:val="95"/>
          <w:sz w:val="24"/>
        </w:rPr>
        <w:t> </w:t>
      </w:r>
      <w:r>
        <w:rPr>
          <w:rFonts w:ascii="Arial" w:hAnsi="Arial"/>
          <w:w w:val="95"/>
          <w:sz w:val="24"/>
        </w:rPr>
        <w:t>Immunosuppression</w:t>
      </w:r>
      <w:r>
        <w:rPr>
          <w:rFonts w:ascii="Arial" w:hAnsi="Arial"/>
          <w:spacing w:val="-41"/>
          <w:w w:val="95"/>
          <w:sz w:val="24"/>
        </w:rPr>
        <w:t> </w:t>
      </w:r>
      <w:r>
        <w:rPr>
          <w:rFonts w:ascii="Arial" w:hAnsi="Arial"/>
          <w:w w:val="95"/>
          <w:sz w:val="24"/>
        </w:rPr>
        <w:t>by</w:t>
      </w:r>
      <w:r>
        <w:rPr>
          <w:rFonts w:ascii="Arial" w:hAnsi="Arial"/>
          <w:spacing w:val="-39"/>
          <w:w w:val="95"/>
          <w:sz w:val="24"/>
        </w:rPr>
        <w:t> </w:t>
      </w:r>
      <w:r>
        <w:rPr>
          <w:rFonts w:ascii="Arial" w:hAnsi="Arial"/>
          <w:w w:val="95"/>
          <w:sz w:val="24"/>
        </w:rPr>
        <w:t>Glucocorticoids. </w:t>
      </w:r>
      <w:r>
        <w:rPr>
          <w:sz w:val="24"/>
        </w:rPr>
        <w:t>Science, 270(5234), 283</w:t>
      </w:r>
      <w:r>
        <w:rPr>
          <w:rFonts w:ascii="Arial" w:hAnsi="Arial"/>
          <w:sz w:val="24"/>
        </w:rPr>
        <w:t>–</w:t>
      </w:r>
      <w:r>
        <w:rPr>
          <w:sz w:val="24"/>
        </w:rPr>
        <w:t>286.</w:t>
      </w:r>
      <w:r>
        <w:rPr>
          <w:spacing w:val="-6"/>
          <w:sz w:val="24"/>
        </w:rPr>
        <w:t> </w:t>
      </w:r>
      <w:r>
        <w:rPr>
          <w:sz w:val="24"/>
        </w:rPr>
        <w:t>https://doi.org/10.1126/science.270.5234.283</w:t>
      </w:r>
    </w:p>
    <w:p>
      <w:pPr>
        <w:pStyle w:val="ListParagraph"/>
        <w:numPr>
          <w:ilvl w:val="1"/>
          <w:numId w:val="1"/>
        </w:numPr>
        <w:tabs>
          <w:tab w:pos="821" w:val="left" w:leader="none"/>
        </w:tabs>
        <w:spacing w:line="277" w:lineRule="exact" w:before="0" w:after="0"/>
        <w:ind w:left="821" w:right="0" w:hanging="361"/>
        <w:jc w:val="both"/>
        <w:rPr>
          <w:sz w:val="24"/>
        </w:rPr>
      </w:pPr>
      <w:r>
        <w:rPr>
          <w:sz w:val="24"/>
        </w:rPr>
        <w:t>Bakker, R.C., Gallas, P.R.J.,, Romijn, J.A., &amp; Wiersinga, W. M. (1998). Cushing's</w:t>
      </w:r>
      <w:r>
        <w:rPr>
          <w:spacing w:val="39"/>
          <w:sz w:val="24"/>
        </w:rPr>
        <w:t> </w:t>
      </w:r>
      <w:r>
        <w:rPr>
          <w:sz w:val="24"/>
        </w:rPr>
        <w:t>syndrome</w:t>
      </w:r>
    </w:p>
    <w:p>
      <w:pPr>
        <w:pStyle w:val="BodyText"/>
        <w:spacing w:line="360" w:lineRule="auto" w:before="147"/>
        <w:ind w:left="821" w:right="177"/>
        <w:jc w:val="both"/>
      </w:pPr>
      <w:r>
        <w:rPr/>
        <w:t>complicated</w:t>
      </w:r>
      <w:r>
        <w:rPr>
          <w:spacing w:val="-6"/>
        </w:rPr>
        <w:t> </w:t>
      </w:r>
      <w:r>
        <w:rPr/>
        <w:t>by</w:t>
      </w:r>
      <w:r>
        <w:rPr>
          <w:spacing w:val="-4"/>
        </w:rPr>
        <w:t> </w:t>
      </w:r>
      <w:r>
        <w:rPr/>
        <w:t>multiple</w:t>
      </w:r>
      <w:r>
        <w:rPr>
          <w:spacing w:val="-4"/>
        </w:rPr>
        <w:t> </w:t>
      </w:r>
      <w:r>
        <w:rPr/>
        <w:t>opportunistic</w:t>
      </w:r>
      <w:r>
        <w:rPr>
          <w:spacing w:val="-7"/>
        </w:rPr>
        <w:t> </w:t>
      </w:r>
      <w:r>
        <w:rPr/>
        <w:t>infections.</w:t>
      </w:r>
      <w:r>
        <w:rPr>
          <w:spacing w:val="-5"/>
        </w:rPr>
        <w:t> </w:t>
      </w:r>
      <w:r>
        <w:rPr/>
        <w:t>J.</w:t>
      </w:r>
      <w:r>
        <w:rPr>
          <w:spacing w:val="-6"/>
        </w:rPr>
        <w:t> </w:t>
      </w:r>
      <w:r>
        <w:rPr/>
        <w:t>Endocrinol.</w:t>
      </w:r>
      <w:r>
        <w:rPr>
          <w:spacing w:val="-4"/>
        </w:rPr>
        <w:t> </w:t>
      </w:r>
      <w:r>
        <w:rPr/>
        <w:t>Invest.</w:t>
      </w:r>
      <w:r>
        <w:rPr>
          <w:spacing w:val="-6"/>
        </w:rPr>
        <w:t> </w:t>
      </w:r>
      <w:r>
        <w:rPr/>
        <w:t>21:</w:t>
      </w:r>
      <w:r>
        <w:rPr>
          <w:spacing w:val="-4"/>
        </w:rPr>
        <w:t> </w:t>
      </w:r>
      <w:r>
        <w:rPr/>
        <w:t>329-333,</w:t>
      </w:r>
      <w:r>
        <w:rPr>
          <w:spacing w:val="-4"/>
        </w:rPr>
        <w:t> </w:t>
      </w:r>
      <w:r>
        <w:rPr/>
        <w:t>1998 https://link.springer.com/content/pdf/10.1007/BF03350337.pdf</w:t>
      </w:r>
    </w:p>
    <w:p>
      <w:pPr>
        <w:pStyle w:val="ListParagraph"/>
        <w:numPr>
          <w:ilvl w:val="1"/>
          <w:numId w:val="1"/>
        </w:numPr>
        <w:tabs>
          <w:tab w:pos="821" w:val="left" w:leader="none"/>
        </w:tabs>
        <w:spacing w:line="360" w:lineRule="auto" w:before="0" w:after="0"/>
        <w:ind w:left="821" w:right="175" w:hanging="360"/>
        <w:jc w:val="both"/>
        <w:rPr>
          <w:sz w:val="24"/>
        </w:rPr>
      </w:pPr>
      <w:r>
        <w:rPr>
          <w:sz w:val="24"/>
        </w:rPr>
        <w:t>Kapoor, V. K. (1998). Abdominal tuberculosis. Postgraduate Medical Journal, 74(874), 459</w:t>
      </w:r>
      <w:r>
        <w:rPr>
          <w:rFonts w:ascii="Arial" w:hAnsi="Arial"/>
          <w:sz w:val="24"/>
        </w:rPr>
        <w:t>–</w:t>
      </w:r>
      <w:r>
        <w:rPr>
          <w:sz w:val="24"/>
        </w:rPr>
        <w:t>467.</w:t>
      </w:r>
      <w:r>
        <w:rPr>
          <w:spacing w:val="-2"/>
          <w:sz w:val="24"/>
        </w:rPr>
        <w:t> </w:t>
      </w:r>
      <w:r>
        <w:rPr>
          <w:sz w:val="24"/>
        </w:rPr>
        <w:t>https://doi.org/10.1136/pgmj.74.874.459</w:t>
      </w:r>
    </w:p>
    <w:sectPr>
      <w:pgSz w:w="12240" w:h="15840"/>
      <w:pgMar w:top="1420" w:bottom="280" w:left="1340" w:right="12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rlito">
    <w:altName w:val="Carlito"/>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4"/>
      <w:numFmt w:val="decimal"/>
      <w:lvlText w:val="(%1)"/>
      <w:lvlJc w:val="left"/>
      <w:pPr>
        <w:ind w:left="100" w:hanging="465"/>
        <w:jc w:val="left"/>
      </w:pPr>
      <w:rPr>
        <w:rFonts w:hint="default" w:ascii="Carlito" w:hAnsi="Carlito" w:eastAsia="Carlito" w:cs="Carlito"/>
        <w:color w:val="202020"/>
        <w:spacing w:val="-2"/>
        <w:w w:val="100"/>
        <w:sz w:val="24"/>
        <w:szCs w:val="24"/>
        <w:lang w:val="en-US" w:eastAsia="en-US" w:bidi="ar-SA"/>
      </w:rPr>
    </w:lvl>
    <w:lvl w:ilvl="1">
      <w:start w:val="1"/>
      <w:numFmt w:val="decimal"/>
      <w:lvlText w:val="%2."/>
      <w:lvlJc w:val="left"/>
      <w:pPr>
        <w:ind w:left="821" w:hanging="360"/>
        <w:jc w:val="left"/>
      </w:pPr>
      <w:rPr>
        <w:rFonts w:hint="default" w:ascii="Carlito" w:hAnsi="Carlito" w:eastAsia="Carlito" w:cs="Carlito"/>
        <w:spacing w:val="-11"/>
        <w:w w:val="100"/>
        <w:sz w:val="24"/>
        <w:szCs w:val="24"/>
        <w:lang w:val="en-US" w:eastAsia="en-US" w:bidi="ar-SA"/>
      </w:rPr>
    </w:lvl>
    <w:lvl w:ilvl="2">
      <w:start w:val="0"/>
      <w:numFmt w:val="bullet"/>
      <w:lvlText w:val="•"/>
      <w:lvlJc w:val="left"/>
      <w:pPr>
        <w:ind w:left="1800" w:hanging="360"/>
      </w:pPr>
      <w:rPr>
        <w:rFonts w:hint="default"/>
        <w:lang w:val="en-US" w:eastAsia="en-US" w:bidi="ar-SA"/>
      </w:rPr>
    </w:lvl>
    <w:lvl w:ilvl="3">
      <w:start w:val="0"/>
      <w:numFmt w:val="bullet"/>
      <w:lvlText w:val="•"/>
      <w:lvlJc w:val="left"/>
      <w:pPr>
        <w:ind w:left="2780" w:hanging="360"/>
      </w:pPr>
      <w:rPr>
        <w:rFonts w:hint="default"/>
        <w:lang w:val="en-US" w:eastAsia="en-US" w:bidi="ar-SA"/>
      </w:rPr>
    </w:lvl>
    <w:lvl w:ilvl="4">
      <w:start w:val="0"/>
      <w:numFmt w:val="bullet"/>
      <w:lvlText w:val="•"/>
      <w:lvlJc w:val="left"/>
      <w:pPr>
        <w:ind w:left="3760" w:hanging="360"/>
      </w:pPr>
      <w:rPr>
        <w:rFonts w:hint="default"/>
        <w:lang w:val="en-US" w:eastAsia="en-US" w:bidi="ar-SA"/>
      </w:rPr>
    </w:lvl>
    <w:lvl w:ilvl="5">
      <w:start w:val="0"/>
      <w:numFmt w:val="bullet"/>
      <w:lvlText w:val="•"/>
      <w:lvlJc w:val="left"/>
      <w:pPr>
        <w:ind w:left="4740" w:hanging="360"/>
      </w:pPr>
      <w:rPr>
        <w:rFonts w:hint="default"/>
        <w:lang w:val="en-US" w:eastAsia="en-US" w:bidi="ar-SA"/>
      </w:rPr>
    </w:lvl>
    <w:lvl w:ilvl="6">
      <w:start w:val="0"/>
      <w:numFmt w:val="bullet"/>
      <w:lvlText w:val="•"/>
      <w:lvlJc w:val="left"/>
      <w:pPr>
        <w:ind w:left="5720" w:hanging="360"/>
      </w:pPr>
      <w:rPr>
        <w:rFonts w:hint="default"/>
        <w:lang w:val="en-US" w:eastAsia="en-US" w:bidi="ar-SA"/>
      </w:rPr>
    </w:lvl>
    <w:lvl w:ilvl="7">
      <w:start w:val="0"/>
      <w:numFmt w:val="bullet"/>
      <w:lvlText w:val="•"/>
      <w:lvlJc w:val="left"/>
      <w:pPr>
        <w:ind w:left="6700" w:hanging="360"/>
      </w:pPr>
      <w:rPr>
        <w:rFonts w:hint="default"/>
        <w:lang w:val="en-US" w:eastAsia="en-US" w:bidi="ar-SA"/>
      </w:rPr>
    </w:lvl>
    <w:lvl w:ilvl="8">
      <w:start w:val="0"/>
      <w:numFmt w:val="bullet"/>
      <w:lvlText w:val="•"/>
      <w:lvlJc w:val="left"/>
      <w:pPr>
        <w:ind w:left="7680"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rlito" w:hAnsi="Carlito" w:eastAsia="Carlito" w:cs="Carlito"/>
      <w:lang w:val="en-US" w:eastAsia="en-US" w:bidi="ar-SA"/>
    </w:rPr>
  </w:style>
  <w:style w:styleId="BodyText" w:type="paragraph">
    <w:name w:val="Body Text"/>
    <w:basedOn w:val="Normal"/>
    <w:uiPriority w:val="1"/>
    <w:qFormat/>
    <w:pPr/>
    <w:rPr>
      <w:rFonts w:ascii="Carlito" w:hAnsi="Carlito" w:eastAsia="Carlito" w:cs="Carlito"/>
      <w:sz w:val="24"/>
      <w:szCs w:val="24"/>
      <w:lang w:val="en-US" w:eastAsia="en-US" w:bidi="ar-SA"/>
    </w:rPr>
  </w:style>
  <w:style w:styleId="Heading1" w:type="paragraph">
    <w:name w:val="Heading 1"/>
    <w:basedOn w:val="Normal"/>
    <w:uiPriority w:val="1"/>
    <w:qFormat/>
    <w:pPr>
      <w:spacing w:before="1"/>
      <w:ind w:left="100"/>
      <w:outlineLvl w:val="1"/>
    </w:pPr>
    <w:rPr>
      <w:rFonts w:ascii="Carlito" w:hAnsi="Carlito" w:eastAsia="Carlito" w:cs="Carlito"/>
      <w:b/>
      <w:bCs/>
      <w:sz w:val="24"/>
      <w:szCs w:val="24"/>
      <w:lang w:val="en-US" w:eastAsia="en-US" w:bidi="ar-SA"/>
    </w:rPr>
  </w:style>
  <w:style w:styleId="ListParagraph" w:type="paragraph">
    <w:name w:val="List Paragraph"/>
    <w:basedOn w:val="Normal"/>
    <w:uiPriority w:val="1"/>
    <w:qFormat/>
    <w:pPr>
      <w:ind w:left="821" w:right="175" w:hanging="360"/>
      <w:jc w:val="both"/>
    </w:pPr>
    <w:rPr>
      <w:rFonts w:ascii="Carlito" w:hAnsi="Carlito" w:eastAsia="Carlito" w:cs="Carlito"/>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hyperlink" Target="http://www.researchgate.net/" TargetMode="External"/><Relationship Id="rId9" Type="http://schemas.openxmlformats.org/officeDocument/2006/relationships/hyperlink" Target="http://www.ncbi.nlm.nih.gov/books/NBK556115/" TargetMode="External"/><Relationship Id="rId10" Type="http://schemas.openxmlformats.org/officeDocument/2006/relationships/hyperlink" Target="http://www.ncbi.nlm.nih.gov/books/NBK279088/" TargetMode="External"/><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2022-06-09T05:55:36Z</dcterms:created>
  <dcterms:modified xsi:type="dcterms:W3CDTF">2022-06-09T05:55:36Z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2022-04-25T00:00:00Z</vt:filetime>
  </property>
  <property fmtid="{D5CDD505-2E9C-101B-9397-08002B2CF9AE}" pid="3" name="Creator">
    <vt:lpwstr>Microsoft Word</vt:lpwstr>
  </property>
  <property fmtid="{D5CDD505-2E9C-101B-9397-08002B2CF9AE}" pid="4" name="LastSaved">
    <vt:filetime>2022-06-09T00:00:00Z</vt:filetime>
  </property>
</Properties>
</file>