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7D9" w:rsidRDefault="00D11C31">
      <w:pPr>
        <w:rPr>
          <w:b/>
          <w:sz w:val="28"/>
          <w:szCs w:val="28"/>
        </w:rPr>
      </w:pPr>
      <w:bookmarkStart w:id="0" w:name="_GoBack"/>
      <w:bookmarkEnd w:id="0"/>
      <w:r>
        <w:rPr>
          <w:b/>
          <w:sz w:val="28"/>
          <w:szCs w:val="28"/>
        </w:rPr>
        <w:t>MEMORY DISTORTION PLAY IN CRIME INVESTIGATION</w:t>
      </w:r>
    </w:p>
    <w:p w:rsidR="00A037D9" w:rsidRDefault="00D11C31">
      <w:pPr>
        <w:rPr>
          <w:sz w:val="20"/>
          <w:szCs w:val="20"/>
        </w:rPr>
      </w:pPr>
      <w:proofErr w:type="spellStart"/>
      <w:r>
        <w:rPr>
          <w:sz w:val="20"/>
          <w:szCs w:val="20"/>
        </w:rPr>
        <w:t>Kalita</w:t>
      </w:r>
      <w:proofErr w:type="spellEnd"/>
      <w:r>
        <w:rPr>
          <w:sz w:val="20"/>
          <w:szCs w:val="20"/>
        </w:rPr>
        <w:t xml:space="preserve"> </w:t>
      </w:r>
      <w:proofErr w:type="spellStart"/>
      <w:r>
        <w:rPr>
          <w:sz w:val="20"/>
          <w:szCs w:val="20"/>
        </w:rPr>
        <w:t>Shweta</w:t>
      </w:r>
      <w:proofErr w:type="spellEnd"/>
      <w:r>
        <w:rPr>
          <w:sz w:val="20"/>
          <w:szCs w:val="20"/>
        </w:rPr>
        <w:t xml:space="preserve">, M.D candidate, USA </w:t>
      </w:r>
    </w:p>
    <w:p w:rsidR="00A037D9" w:rsidRDefault="00D11C31">
      <w:pPr>
        <w:rPr>
          <w:sz w:val="20"/>
          <w:szCs w:val="20"/>
        </w:rPr>
      </w:pPr>
      <w:r>
        <w:rPr>
          <w:sz w:val="20"/>
          <w:szCs w:val="20"/>
        </w:rPr>
        <w:t xml:space="preserve">Spartan Health Sciences University, Saint Lucia </w:t>
      </w:r>
    </w:p>
    <w:p w:rsidR="00A037D9" w:rsidRDefault="00A037D9">
      <w:pPr>
        <w:ind w:left="-283" w:right="-324"/>
      </w:pPr>
    </w:p>
    <w:p w:rsidR="00A037D9" w:rsidRDefault="00D11C31">
      <w:pPr>
        <w:ind w:left="-283" w:right="-324"/>
        <w:rPr>
          <w:b/>
        </w:rPr>
      </w:pPr>
      <w:r>
        <w:rPr>
          <w:b/>
        </w:rPr>
        <w:t>Abstract</w:t>
      </w:r>
    </w:p>
    <w:p w:rsidR="00A037D9" w:rsidRDefault="00D11C31">
      <w:pPr>
        <w:ind w:left="-283" w:right="-324"/>
        <w:jc w:val="both"/>
        <w:rPr>
          <w:sz w:val="20"/>
          <w:szCs w:val="20"/>
        </w:rPr>
      </w:pPr>
      <w:r>
        <w:rPr>
          <w:sz w:val="20"/>
          <w:szCs w:val="20"/>
        </w:rPr>
        <w:t>Time and again it has been seen in history where people have been accused, tried, convicted and sent to prison for a crime they did not commit. In one project, recent DNA analysis has found around 300 innocent convicted people who spent 10, 20, 30 years in</w:t>
      </w:r>
      <w:r>
        <w:rPr>
          <w:sz w:val="20"/>
          <w:szCs w:val="20"/>
        </w:rPr>
        <w:t xml:space="preserve"> prison. Of those 300, 2/3rd </w:t>
      </w:r>
      <w:proofErr w:type="gramStart"/>
      <w:r>
        <w:rPr>
          <w:sz w:val="20"/>
          <w:szCs w:val="20"/>
        </w:rPr>
        <w:t>were</w:t>
      </w:r>
      <w:proofErr w:type="gramEnd"/>
      <w:r>
        <w:rPr>
          <w:sz w:val="20"/>
          <w:szCs w:val="20"/>
        </w:rPr>
        <w:t xml:space="preserve"> convicted due to false memory eyewitnesses. Memory does not work like a video recorder; instead it is constructed and reconstructed with time depending on factors both internal and external. 31y old Steve Titus was falsely</w:t>
      </w:r>
      <w:r>
        <w:rPr>
          <w:sz w:val="20"/>
          <w:szCs w:val="20"/>
        </w:rPr>
        <w:t xml:space="preserve"> accused of rape because he looked similar to the perpetrator and drove a similar car. This false accusation made an innocent man lose his job, his </w:t>
      </w:r>
      <w:proofErr w:type="spellStart"/>
      <w:r>
        <w:rPr>
          <w:sz w:val="20"/>
          <w:szCs w:val="20"/>
        </w:rPr>
        <w:t>fiance</w:t>
      </w:r>
      <w:proofErr w:type="spellEnd"/>
      <w:r>
        <w:rPr>
          <w:sz w:val="20"/>
          <w:szCs w:val="20"/>
        </w:rPr>
        <w:t xml:space="preserve"> and serve time in prison. Even upon his release, the accusation caused such an impact on him that it </w:t>
      </w:r>
      <w:r>
        <w:rPr>
          <w:sz w:val="20"/>
          <w:szCs w:val="20"/>
        </w:rPr>
        <w:t xml:space="preserve">finally resulted in his death. An innocent man’s entire life was snatched away by a false memory. In a study done on US military who were undergoing training exercises to teach them what is it going to be for them if they are ever captured as prisoners of </w:t>
      </w:r>
      <w:proofErr w:type="gramStart"/>
      <w:r>
        <w:rPr>
          <w:sz w:val="20"/>
          <w:szCs w:val="20"/>
        </w:rPr>
        <w:t>war.</w:t>
      </w:r>
      <w:proofErr w:type="gramEnd"/>
      <w:r>
        <w:rPr>
          <w:sz w:val="20"/>
          <w:szCs w:val="20"/>
        </w:rPr>
        <w:t xml:space="preserve"> These subjects were interrogated in an aggressive, hostile and physically abusive fashion after which they were asked to identify the person who conducted the interrogation. On feeding them false, misleading information that suggested it was a differe</w:t>
      </w:r>
      <w:r>
        <w:rPr>
          <w:sz w:val="20"/>
          <w:szCs w:val="20"/>
        </w:rPr>
        <w:t>nt person, many of the subjects misidentified their interrogator. Misleading information is everywhere and has the ability to distort, contaminate or change memory. This is important in memory distortion because people have difficulty with source monitorin</w:t>
      </w:r>
      <w:r>
        <w:rPr>
          <w:sz w:val="20"/>
          <w:szCs w:val="20"/>
        </w:rPr>
        <w:t xml:space="preserve">g. Memory is not a video recorder; it is the very organic result of neural connections in the brain which can be altered, reformed each time they are exercised and this error has resulted in the freedom of various innocent people. </w:t>
      </w:r>
    </w:p>
    <w:p w:rsidR="00A037D9" w:rsidRDefault="00A037D9">
      <w:pPr>
        <w:jc w:val="both"/>
        <w:rPr>
          <w:sz w:val="20"/>
          <w:szCs w:val="20"/>
        </w:rPr>
      </w:pPr>
    </w:p>
    <w:p w:rsidR="00A037D9" w:rsidRDefault="00A037D9">
      <w:pPr>
        <w:jc w:val="both"/>
      </w:pPr>
    </w:p>
    <w:p w:rsidR="00A037D9" w:rsidRDefault="00D11C31">
      <w:pPr>
        <w:ind w:left="-425" w:right="-324"/>
        <w:jc w:val="both"/>
        <w:rPr>
          <w:b/>
        </w:rPr>
      </w:pPr>
      <w:r>
        <w:rPr>
          <w:b/>
        </w:rPr>
        <w:t xml:space="preserve">Recent publications </w:t>
      </w:r>
    </w:p>
    <w:p w:rsidR="00A037D9" w:rsidRDefault="00D11C31">
      <w:pPr>
        <w:numPr>
          <w:ilvl w:val="0"/>
          <w:numId w:val="1"/>
        </w:numPr>
        <w:ind w:left="-425" w:right="-324" w:firstLine="0"/>
        <w:rPr>
          <w:sz w:val="20"/>
          <w:szCs w:val="20"/>
        </w:rPr>
      </w:pPr>
      <w:r>
        <w:rPr>
          <w:rFonts w:ascii="Roboto" w:eastAsia="Roboto" w:hAnsi="Roboto" w:cs="Roboto"/>
          <w:sz w:val="20"/>
          <w:szCs w:val="20"/>
          <w:highlight w:val="white"/>
        </w:rPr>
        <w:t>R</w:t>
      </w:r>
      <w:r>
        <w:rPr>
          <w:rFonts w:ascii="Roboto" w:eastAsia="Roboto" w:hAnsi="Roboto" w:cs="Roboto"/>
          <w:sz w:val="20"/>
          <w:szCs w:val="20"/>
          <w:highlight w:val="white"/>
        </w:rPr>
        <w:t xml:space="preserve">oss, David R.; </w:t>
      </w:r>
      <w:proofErr w:type="spellStart"/>
      <w:r>
        <w:rPr>
          <w:rFonts w:ascii="Roboto" w:eastAsia="Roboto" w:hAnsi="Roboto" w:cs="Roboto"/>
          <w:sz w:val="20"/>
          <w:szCs w:val="20"/>
          <w:highlight w:val="white"/>
        </w:rPr>
        <w:t>Ceci</w:t>
      </w:r>
      <w:proofErr w:type="spellEnd"/>
      <w:r>
        <w:rPr>
          <w:rFonts w:ascii="Roboto" w:eastAsia="Roboto" w:hAnsi="Roboto" w:cs="Roboto"/>
          <w:sz w:val="20"/>
          <w:szCs w:val="20"/>
          <w:highlight w:val="white"/>
        </w:rPr>
        <w:t xml:space="preserve">, Stephen J.; Dunning, David; </w:t>
      </w:r>
      <w:proofErr w:type="spellStart"/>
      <w:r>
        <w:rPr>
          <w:rFonts w:ascii="Roboto" w:eastAsia="Roboto" w:hAnsi="Roboto" w:cs="Roboto"/>
          <w:sz w:val="20"/>
          <w:szCs w:val="20"/>
          <w:highlight w:val="white"/>
        </w:rPr>
        <w:t>Toglia</w:t>
      </w:r>
      <w:proofErr w:type="spellEnd"/>
      <w:r>
        <w:rPr>
          <w:rFonts w:ascii="Roboto" w:eastAsia="Roboto" w:hAnsi="Roboto" w:cs="Roboto"/>
          <w:sz w:val="20"/>
          <w:szCs w:val="20"/>
          <w:highlight w:val="white"/>
        </w:rPr>
        <w:t xml:space="preserve">, Michael P. (1994). </w:t>
      </w:r>
      <w:r>
        <w:rPr>
          <w:rFonts w:ascii="Roboto" w:eastAsia="Roboto" w:hAnsi="Roboto" w:cs="Roboto"/>
          <w:i/>
          <w:sz w:val="20"/>
          <w:szCs w:val="20"/>
          <w:highlight w:val="white"/>
        </w:rPr>
        <w:t xml:space="preserve">Unconscious transference and </w:t>
      </w:r>
      <w:proofErr w:type="spellStart"/>
      <w:r>
        <w:rPr>
          <w:rFonts w:ascii="Roboto" w:eastAsia="Roboto" w:hAnsi="Roboto" w:cs="Roboto"/>
          <w:i/>
          <w:sz w:val="20"/>
          <w:szCs w:val="20"/>
          <w:highlight w:val="white"/>
        </w:rPr>
        <w:t>mistake</w:t>
      </w:r>
      <w:proofErr w:type="spellEnd"/>
      <w:r>
        <w:rPr>
          <w:rFonts w:ascii="Roboto" w:eastAsia="Roboto" w:hAnsi="Roboto" w:cs="Roboto"/>
          <w:i/>
          <w:sz w:val="20"/>
          <w:szCs w:val="20"/>
          <w:highlight w:val="white"/>
        </w:rPr>
        <w:t xml:space="preserve"> identity: When a witness misidentifies a familiar with innocent person</w:t>
      </w:r>
      <w:proofErr w:type="gramStart"/>
      <w:r>
        <w:rPr>
          <w:rFonts w:ascii="Roboto" w:eastAsia="Roboto" w:hAnsi="Roboto" w:cs="Roboto"/>
          <w:i/>
          <w:sz w:val="20"/>
          <w:szCs w:val="20"/>
          <w:highlight w:val="white"/>
        </w:rPr>
        <w:t>..</w:t>
      </w:r>
      <w:proofErr w:type="gramEnd"/>
      <w:r>
        <w:rPr>
          <w:rFonts w:ascii="Roboto" w:eastAsia="Roboto" w:hAnsi="Roboto" w:cs="Roboto"/>
          <w:i/>
          <w:sz w:val="20"/>
          <w:szCs w:val="20"/>
          <w:highlight w:val="white"/>
        </w:rPr>
        <w:t xml:space="preserve"> Journal of Applied Psychology, 79(6), 918–930. </w:t>
      </w:r>
      <w:r>
        <w:rPr>
          <w:rFonts w:ascii="Roboto" w:eastAsia="Roboto" w:hAnsi="Roboto" w:cs="Roboto"/>
          <w:sz w:val="20"/>
          <w:szCs w:val="20"/>
          <w:highlight w:val="white"/>
        </w:rPr>
        <w:t>doi:10.1037/0021-9010.7</w:t>
      </w:r>
      <w:r>
        <w:rPr>
          <w:rFonts w:ascii="Roboto" w:eastAsia="Roboto" w:hAnsi="Roboto" w:cs="Roboto"/>
          <w:sz w:val="20"/>
          <w:szCs w:val="20"/>
          <w:highlight w:val="white"/>
        </w:rPr>
        <w:t xml:space="preserve">9.6.918 </w:t>
      </w:r>
    </w:p>
    <w:p w:rsidR="00A037D9" w:rsidRDefault="00D11C31">
      <w:pPr>
        <w:numPr>
          <w:ilvl w:val="0"/>
          <w:numId w:val="1"/>
        </w:numPr>
        <w:ind w:left="-425" w:right="-324" w:firstLine="0"/>
        <w:rPr>
          <w:rFonts w:ascii="Roboto" w:eastAsia="Roboto" w:hAnsi="Roboto" w:cs="Roboto"/>
          <w:sz w:val="20"/>
          <w:szCs w:val="20"/>
          <w:highlight w:val="white"/>
        </w:rPr>
      </w:pPr>
      <w:r>
        <w:rPr>
          <w:rFonts w:ascii="Roboto" w:eastAsia="Roboto" w:hAnsi="Roboto" w:cs="Roboto"/>
          <w:sz w:val="20"/>
          <w:szCs w:val="20"/>
          <w:highlight w:val="white"/>
        </w:rPr>
        <w:t xml:space="preserve">Deborah Davis; Elizabeth F. Loftus; Samuel </w:t>
      </w:r>
      <w:proofErr w:type="spellStart"/>
      <w:r>
        <w:rPr>
          <w:rFonts w:ascii="Roboto" w:eastAsia="Roboto" w:hAnsi="Roboto" w:cs="Roboto"/>
          <w:sz w:val="20"/>
          <w:szCs w:val="20"/>
          <w:highlight w:val="white"/>
        </w:rPr>
        <w:t>Vanous</w:t>
      </w:r>
      <w:proofErr w:type="spellEnd"/>
      <w:r>
        <w:rPr>
          <w:rFonts w:ascii="Roboto" w:eastAsia="Roboto" w:hAnsi="Roboto" w:cs="Roboto"/>
          <w:sz w:val="20"/>
          <w:szCs w:val="20"/>
          <w:highlight w:val="white"/>
        </w:rPr>
        <w:t xml:space="preserve">; Michael </w:t>
      </w:r>
      <w:proofErr w:type="spellStart"/>
      <w:r>
        <w:rPr>
          <w:rFonts w:ascii="Roboto" w:eastAsia="Roboto" w:hAnsi="Roboto" w:cs="Roboto"/>
          <w:sz w:val="20"/>
          <w:szCs w:val="20"/>
          <w:highlight w:val="white"/>
        </w:rPr>
        <w:t>Cucciare</w:t>
      </w:r>
      <w:proofErr w:type="spellEnd"/>
      <w:r>
        <w:rPr>
          <w:rFonts w:ascii="Roboto" w:eastAsia="Roboto" w:hAnsi="Roboto" w:cs="Roboto"/>
          <w:sz w:val="20"/>
          <w:szCs w:val="20"/>
          <w:highlight w:val="white"/>
        </w:rPr>
        <w:t xml:space="preserve"> (2008). </w:t>
      </w:r>
      <w:r>
        <w:rPr>
          <w:rFonts w:ascii="Roboto" w:eastAsia="Roboto" w:hAnsi="Roboto" w:cs="Roboto"/>
          <w:i/>
          <w:sz w:val="20"/>
          <w:szCs w:val="20"/>
          <w:highlight w:val="white"/>
        </w:rPr>
        <w:t xml:space="preserve">‘Unconscious transference’ can be an instance of ‘change blindness’. , 22(5), 605–623. </w:t>
      </w:r>
      <w:r>
        <w:rPr>
          <w:rFonts w:ascii="Roboto" w:eastAsia="Roboto" w:hAnsi="Roboto" w:cs="Roboto"/>
          <w:sz w:val="20"/>
          <w:szCs w:val="20"/>
          <w:highlight w:val="white"/>
        </w:rPr>
        <w:t xml:space="preserve">doi:10.1002/acp.1395 </w:t>
      </w:r>
    </w:p>
    <w:p w:rsidR="00A037D9" w:rsidRDefault="00D11C31">
      <w:pPr>
        <w:numPr>
          <w:ilvl w:val="0"/>
          <w:numId w:val="1"/>
        </w:numPr>
        <w:ind w:left="-425" w:right="-324" w:firstLine="0"/>
        <w:rPr>
          <w:rFonts w:ascii="Roboto" w:eastAsia="Roboto" w:hAnsi="Roboto" w:cs="Roboto"/>
          <w:sz w:val="20"/>
          <w:szCs w:val="20"/>
          <w:highlight w:val="white"/>
        </w:rPr>
      </w:pPr>
      <w:proofErr w:type="spellStart"/>
      <w:r>
        <w:rPr>
          <w:rFonts w:ascii="Roboto" w:eastAsia="Roboto" w:hAnsi="Roboto" w:cs="Roboto"/>
          <w:sz w:val="20"/>
          <w:szCs w:val="20"/>
          <w:highlight w:val="white"/>
        </w:rPr>
        <w:t>Wulff</w:t>
      </w:r>
      <w:proofErr w:type="spellEnd"/>
      <w:r>
        <w:rPr>
          <w:rFonts w:ascii="Roboto" w:eastAsia="Roboto" w:hAnsi="Roboto" w:cs="Roboto"/>
          <w:sz w:val="20"/>
          <w:szCs w:val="20"/>
          <w:highlight w:val="white"/>
        </w:rPr>
        <w:t xml:space="preserve">, Alia &amp; Hyman, Ira. (2021). Crime Blindness: The Impact </w:t>
      </w:r>
      <w:r>
        <w:rPr>
          <w:rFonts w:ascii="Roboto" w:eastAsia="Roboto" w:hAnsi="Roboto" w:cs="Roboto"/>
          <w:sz w:val="20"/>
          <w:szCs w:val="20"/>
          <w:highlight w:val="white"/>
        </w:rPr>
        <w:t xml:space="preserve">of </w:t>
      </w:r>
      <w:proofErr w:type="spellStart"/>
      <w:r>
        <w:rPr>
          <w:rFonts w:ascii="Roboto" w:eastAsia="Roboto" w:hAnsi="Roboto" w:cs="Roboto"/>
          <w:sz w:val="20"/>
          <w:szCs w:val="20"/>
          <w:highlight w:val="white"/>
        </w:rPr>
        <w:t>Inattentional</w:t>
      </w:r>
      <w:proofErr w:type="spellEnd"/>
      <w:r>
        <w:rPr>
          <w:rFonts w:ascii="Roboto" w:eastAsia="Roboto" w:hAnsi="Roboto" w:cs="Roboto"/>
          <w:sz w:val="20"/>
          <w:szCs w:val="20"/>
          <w:highlight w:val="white"/>
        </w:rPr>
        <w:t xml:space="preserve"> Blindness on Eyewitness Awareness, Memory, and Identification. Applied Cognitive Psychology. 10.1002/acp.3906. </w:t>
      </w:r>
    </w:p>
    <w:p w:rsidR="00A037D9" w:rsidRDefault="00D11C31">
      <w:pPr>
        <w:numPr>
          <w:ilvl w:val="0"/>
          <w:numId w:val="1"/>
        </w:numPr>
        <w:ind w:left="-425" w:right="-324" w:firstLine="0"/>
        <w:rPr>
          <w:rFonts w:ascii="Roboto" w:eastAsia="Roboto" w:hAnsi="Roboto" w:cs="Roboto"/>
          <w:sz w:val="20"/>
          <w:szCs w:val="20"/>
          <w:highlight w:val="white"/>
        </w:rPr>
      </w:pPr>
      <w:r>
        <w:rPr>
          <w:rFonts w:ascii="Roboto" w:eastAsia="Roboto" w:hAnsi="Roboto" w:cs="Roboto"/>
          <w:sz w:val="20"/>
          <w:szCs w:val="20"/>
          <w:highlight w:val="white"/>
        </w:rPr>
        <w:t>Helm, Rebecca. (2021). Evaluating witness testimony: Juror knowledge, false memory, and the utility of evidence-based direction</w:t>
      </w:r>
      <w:r>
        <w:rPr>
          <w:rFonts w:ascii="Roboto" w:eastAsia="Roboto" w:hAnsi="Roboto" w:cs="Roboto"/>
          <w:sz w:val="20"/>
          <w:szCs w:val="20"/>
          <w:highlight w:val="white"/>
        </w:rPr>
        <w:t xml:space="preserve">s. The International Journal of Evidence &amp; Proof. 25. 136571272110310. 10.1177/13657127211031018. </w:t>
      </w:r>
    </w:p>
    <w:p w:rsidR="00A037D9" w:rsidRDefault="00D11C31">
      <w:pPr>
        <w:numPr>
          <w:ilvl w:val="0"/>
          <w:numId w:val="1"/>
        </w:numPr>
        <w:ind w:left="-425" w:right="-324" w:firstLine="0"/>
        <w:rPr>
          <w:rFonts w:ascii="Roboto" w:eastAsia="Roboto" w:hAnsi="Roboto" w:cs="Roboto"/>
          <w:sz w:val="20"/>
          <w:szCs w:val="20"/>
          <w:highlight w:val="white"/>
        </w:rPr>
      </w:pPr>
      <w:proofErr w:type="spellStart"/>
      <w:r>
        <w:rPr>
          <w:rFonts w:ascii="Roboto" w:eastAsia="Roboto" w:hAnsi="Roboto" w:cs="Roboto"/>
          <w:sz w:val="20"/>
          <w:szCs w:val="20"/>
          <w:highlight w:val="white"/>
        </w:rPr>
        <w:t>Konopasek</w:t>
      </w:r>
      <w:proofErr w:type="spellEnd"/>
      <w:r>
        <w:rPr>
          <w:rFonts w:ascii="Roboto" w:eastAsia="Roboto" w:hAnsi="Roboto" w:cs="Roboto"/>
          <w:sz w:val="20"/>
          <w:szCs w:val="20"/>
          <w:highlight w:val="white"/>
        </w:rPr>
        <w:t>, James. (2020). Timely Non-deceptive Sexual History Polygraph Examinations are Correlated with Completion of Treatment but Not Correlated with Sexu</w:t>
      </w:r>
      <w:r>
        <w:rPr>
          <w:rFonts w:ascii="Roboto" w:eastAsia="Roboto" w:hAnsi="Roboto" w:cs="Roboto"/>
          <w:sz w:val="20"/>
          <w:szCs w:val="20"/>
          <w:highlight w:val="white"/>
        </w:rPr>
        <w:t xml:space="preserve">al Recidivism. </w:t>
      </w:r>
      <w:r>
        <w:rPr>
          <w:rFonts w:ascii="Roboto" w:eastAsia="Roboto" w:hAnsi="Roboto" w:cs="Roboto"/>
          <w:sz w:val="20"/>
          <w:szCs w:val="20"/>
          <w:highlight w:val="white"/>
        </w:rPr>
        <w:br/>
      </w:r>
      <w:r>
        <w:rPr>
          <w:rFonts w:ascii="Roboto" w:eastAsia="Roboto" w:hAnsi="Roboto" w:cs="Roboto"/>
          <w:sz w:val="20"/>
          <w:szCs w:val="20"/>
          <w:highlight w:val="white"/>
        </w:rPr>
        <w:br/>
      </w:r>
      <w:r>
        <w:rPr>
          <w:rFonts w:ascii="Roboto" w:eastAsia="Roboto" w:hAnsi="Roboto" w:cs="Roboto"/>
          <w:sz w:val="20"/>
          <w:szCs w:val="20"/>
          <w:highlight w:val="white"/>
        </w:rPr>
        <w:br/>
      </w:r>
      <w:r>
        <w:rPr>
          <w:rFonts w:ascii="Roboto" w:eastAsia="Roboto" w:hAnsi="Roboto" w:cs="Roboto"/>
          <w:b/>
          <w:highlight w:val="white"/>
        </w:rPr>
        <w:t>Biography</w:t>
      </w:r>
      <w:r>
        <w:rPr>
          <w:noProof/>
          <w:lang w:val="en-IN"/>
        </w:rPr>
        <w:drawing>
          <wp:anchor distT="114300" distB="114300" distL="114300" distR="114300" simplePos="0" relativeHeight="251658240" behindDoc="0" locked="0" layoutInCell="1" hidden="0" allowOverlap="1">
            <wp:simplePos x="0" y="0"/>
            <wp:positionH relativeFrom="column">
              <wp:posOffset>5153025</wp:posOffset>
            </wp:positionH>
            <wp:positionV relativeFrom="paragraph">
              <wp:posOffset>847725</wp:posOffset>
            </wp:positionV>
            <wp:extent cx="1014413" cy="1528263"/>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014413" cy="1528263"/>
                    </a:xfrm>
                    <a:prstGeom prst="rect">
                      <a:avLst/>
                    </a:prstGeom>
                    <a:ln/>
                  </pic:spPr>
                </pic:pic>
              </a:graphicData>
            </a:graphic>
          </wp:anchor>
        </w:drawing>
      </w:r>
    </w:p>
    <w:p w:rsidR="00A037D9" w:rsidRDefault="00D11C31">
      <w:pPr>
        <w:ind w:left="-425" w:right="-182"/>
        <w:jc w:val="both"/>
        <w:rPr>
          <w:color w:val="232629"/>
          <w:sz w:val="20"/>
          <w:szCs w:val="20"/>
          <w:highlight w:val="white"/>
        </w:rPr>
      </w:pPr>
      <w:proofErr w:type="spellStart"/>
      <w:r>
        <w:rPr>
          <w:color w:val="232629"/>
          <w:sz w:val="20"/>
          <w:szCs w:val="20"/>
          <w:highlight w:val="white"/>
        </w:rPr>
        <w:t>Shweta</w:t>
      </w:r>
      <w:proofErr w:type="spellEnd"/>
      <w:r>
        <w:rPr>
          <w:color w:val="232629"/>
          <w:sz w:val="20"/>
          <w:szCs w:val="20"/>
          <w:highlight w:val="white"/>
        </w:rPr>
        <w:t xml:space="preserve"> </w:t>
      </w:r>
      <w:proofErr w:type="spellStart"/>
      <w:r>
        <w:rPr>
          <w:color w:val="232629"/>
          <w:sz w:val="20"/>
          <w:szCs w:val="20"/>
          <w:highlight w:val="white"/>
        </w:rPr>
        <w:t>Kalita</w:t>
      </w:r>
      <w:proofErr w:type="spellEnd"/>
      <w:r>
        <w:rPr>
          <w:color w:val="232629"/>
          <w:sz w:val="20"/>
          <w:szCs w:val="20"/>
          <w:highlight w:val="white"/>
        </w:rPr>
        <w:t xml:space="preserve"> got an associate degree in Biochemistry and is currently in the MD program of Spartan Health Sciences University under scholarship. She has working experience in the Forensic Science Laboratory of India which is h</w:t>
      </w:r>
      <w:r>
        <w:rPr>
          <w:color w:val="232629"/>
          <w:sz w:val="20"/>
          <w:szCs w:val="20"/>
          <w:highlight w:val="white"/>
        </w:rPr>
        <w:t xml:space="preserve">ow she attained a fascination for the field. She is currently doing research on ‘Unconscious Transference and memory distortion’ in a sample size of 300. Her other ongoing research projects include Addiction psychiatry, </w:t>
      </w:r>
      <w:proofErr w:type="spellStart"/>
      <w:r>
        <w:rPr>
          <w:color w:val="232629"/>
          <w:sz w:val="20"/>
          <w:szCs w:val="20"/>
          <w:highlight w:val="white"/>
        </w:rPr>
        <w:t>Autoscopic</w:t>
      </w:r>
      <w:proofErr w:type="spellEnd"/>
      <w:r>
        <w:rPr>
          <w:color w:val="232629"/>
          <w:sz w:val="20"/>
          <w:szCs w:val="20"/>
          <w:highlight w:val="white"/>
        </w:rPr>
        <w:t xml:space="preserve"> Hallucinations in neuroco</w:t>
      </w:r>
      <w:r>
        <w:rPr>
          <w:color w:val="232629"/>
          <w:sz w:val="20"/>
          <w:szCs w:val="20"/>
          <w:highlight w:val="white"/>
        </w:rPr>
        <w:t xml:space="preserve">gnitive disorders and Psychosomatic medicine. Other than medicine, she volunteers at organizations that support suicidal LGBTQ teenagers, military </w:t>
      </w:r>
      <w:proofErr w:type="spellStart"/>
      <w:r>
        <w:rPr>
          <w:color w:val="232629"/>
          <w:sz w:val="20"/>
          <w:szCs w:val="20"/>
          <w:highlight w:val="white"/>
        </w:rPr>
        <w:t>veterens</w:t>
      </w:r>
      <w:proofErr w:type="spellEnd"/>
      <w:r>
        <w:rPr>
          <w:color w:val="232629"/>
          <w:sz w:val="20"/>
          <w:szCs w:val="20"/>
          <w:highlight w:val="white"/>
        </w:rPr>
        <w:t xml:space="preserve"> with PTSD and Counselor for severely </w:t>
      </w:r>
      <w:proofErr w:type="spellStart"/>
      <w:r>
        <w:rPr>
          <w:color w:val="232629"/>
          <w:sz w:val="20"/>
          <w:szCs w:val="20"/>
          <w:highlight w:val="white"/>
        </w:rPr>
        <w:t>immunocompromised</w:t>
      </w:r>
      <w:proofErr w:type="spellEnd"/>
      <w:r>
        <w:rPr>
          <w:color w:val="232629"/>
          <w:sz w:val="20"/>
          <w:szCs w:val="20"/>
          <w:highlight w:val="white"/>
        </w:rPr>
        <w:t xml:space="preserve"> Brain Tumor children.</w:t>
      </w:r>
    </w:p>
    <w:p w:rsidR="00A037D9" w:rsidRDefault="00D11C31">
      <w:pPr>
        <w:ind w:left="-425" w:right="-182"/>
        <w:rPr>
          <w:color w:val="232629"/>
          <w:sz w:val="20"/>
          <w:szCs w:val="20"/>
          <w:highlight w:val="white"/>
        </w:rPr>
      </w:pPr>
      <w:r>
        <w:rPr>
          <w:b/>
          <w:color w:val="232629"/>
          <w:sz w:val="20"/>
          <w:szCs w:val="20"/>
          <w:highlight w:val="white"/>
        </w:rPr>
        <w:br/>
      </w:r>
      <w:r>
        <w:rPr>
          <w:b/>
          <w:color w:val="232629"/>
          <w:sz w:val="20"/>
          <w:szCs w:val="20"/>
          <w:highlight w:val="white"/>
        </w:rPr>
        <w:br/>
        <w:t xml:space="preserve">Full name - </w:t>
      </w:r>
      <w:proofErr w:type="spellStart"/>
      <w:r>
        <w:rPr>
          <w:color w:val="232629"/>
          <w:sz w:val="20"/>
          <w:szCs w:val="20"/>
          <w:highlight w:val="white"/>
        </w:rPr>
        <w:t>Shweta</w:t>
      </w:r>
      <w:proofErr w:type="spellEnd"/>
      <w:r>
        <w:rPr>
          <w:color w:val="232629"/>
          <w:sz w:val="20"/>
          <w:szCs w:val="20"/>
          <w:highlight w:val="white"/>
        </w:rPr>
        <w:t xml:space="preserve"> </w:t>
      </w:r>
      <w:proofErr w:type="spellStart"/>
      <w:r>
        <w:rPr>
          <w:color w:val="232629"/>
          <w:sz w:val="20"/>
          <w:szCs w:val="20"/>
          <w:highlight w:val="white"/>
        </w:rPr>
        <w:t>Ka</w:t>
      </w:r>
      <w:r>
        <w:rPr>
          <w:color w:val="232629"/>
          <w:sz w:val="20"/>
          <w:szCs w:val="20"/>
          <w:highlight w:val="white"/>
        </w:rPr>
        <w:t>lita</w:t>
      </w:r>
      <w:proofErr w:type="spellEnd"/>
      <w:r>
        <w:rPr>
          <w:b/>
          <w:color w:val="232629"/>
          <w:sz w:val="20"/>
          <w:szCs w:val="20"/>
          <w:highlight w:val="white"/>
        </w:rPr>
        <w:br/>
        <w:t xml:space="preserve">Contact Number - </w:t>
      </w:r>
      <w:r>
        <w:rPr>
          <w:color w:val="232629"/>
          <w:sz w:val="20"/>
          <w:szCs w:val="20"/>
          <w:highlight w:val="white"/>
        </w:rPr>
        <w:t>224-775-0540</w:t>
      </w:r>
      <w:r>
        <w:rPr>
          <w:b/>
          <w:color w:val="232629"/>
          <w:sz w:val="20"/>
          <w:szCs w:val="20"/>
          <w:highlight w:val="white"/>
        </w:rPr>
        <w:br/>
      </w:r>
      <w:proofErr w:type="spellStart"/>
      <w:r>
        <w:rPr>
          <w:b/>
          <w:color w:val="232629"/>
          <w:sz w:val="20"/>
          <w:szCs w:val="20"/>
          <w:highlight w:val="white"/>
        </w:rPr>
        <w:t>Linkedin</w:t>
      </w:r>
      <w:proofErr w:type="spellEnd"/>
      <w:r>
        <w:rPr>
          <w:b/>
          <w:color w:val="232629"/>
          <w:sz w:val="20"/>
          <w:szCs w:val="20"/>
          <w:highlight w:val="white"/>
        </w:rPr>
        <w:t xml:space="preserve"> Account - </w:t>
      </w:r>
      <w:hyperlink r:id="rId7">
        <w:r>
          <w:rPr>
            <w:b/>
            <w:color w:val="1155CC"/>
            <w:sz w:val="20"/>
            <w:szCs w:val="20"/>
            <w:highlight w:val="white"/>
            <w:u w:val="single"/>
          </w:rPr>
          <w:t>(22) Shweta Kalita | LinkedIn</w:t>
        </w:r>
      </w:hyperlink>
      <w:r>
        <w:rPr>
          <w:b/>
          <w:color w:val="232629"/>
          <w:sz w:val="20"/>
          <w:szCs w:val="20"/>
          <w:highlight w:val="white"/>
        </w:rPr>
        <w:br/>
        <w:t xml:space="preserve">Category - </w:t>
      </w:r>
      <w:r>
        <w:rPr>
          <w:color w:val="232629"/>
          <w:sz w:val="20"/>
          <w:szCs w:val="20"/>
          <w:highlight w:val="white"/>
        </w:rPr>
        <w:t>Oral Presentation</w:t>
      </w:r>
      <w:r>
        <w:rPr>
          <w:color w:val="232629"/>
          <w:sz w:val="20"/>
          <w:szCs w:val="20"/>
          <w:highlight w:val="white"/>
        </w:rPr>
        <w:br/>
      </w:r>
      <w:r>
        <w:rPr>
          <w:b/>
          <w:color w:val="232629"/>
          <w:sz w:val="20"/>
          <w:szCs w:val="20"/>
          <w:highlight w:val="white"/>
        </w:rPr>
        <w:t xml:space="preserve">Email </w:t>
      </w:r>
      <w:r>
        <w:rPr>
          <w:color w:val="232629"/>
          <w:sz w:val="20"/>
          <w:szCs w:val="20"/>
          <w:highlight w:val="white"/>
        </w:rPr>
        <w:t>- richashweta123@gmail.com</w:t>
      </w:r>
    </w:p>
    <w:sectPr w:rsidR="00A037D9">
      <w:pgSz w:w="11909" w:h="16834"/>
      <w:pgMar w:top="566" w:right="1440" w:bottom="523"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990F07"/>
    <w:multiLevelType w:val="multilevel"/>
    <w:tmpl w:val="45C405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037D9"/>
    <w:rsid w:val="00A037D9"/>
    <w:rsid w:val="00D11C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linkedin.com/in/shweta-kalita-495434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17th Global Biomarkers and Clinical Research Summit</dc:creator>
  <cp:lastModifiedBy>17th Global Biomarkers and Clinical Research Summit</cp:lastModifiedBy>
  <cp:revision>2</cp:revision>
  <dcterms:created xsi:type="dcterms:W3CDTF">2022-06-09T06:03:00Z</dcterms:created>
  <dcterms:modified xsi:type="dcterms:W3CDTF">2022-06-09T06:03:00Z</dcterms:modified>
</cp:coreProperties>
</file>