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88F" w:rsidRPr="0094488F" w:rsidRDefault="0094488F" w:rsidP="0094488F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94488F">
        <w:rPr>
          <w:rFonts w:asciiTheme="majorBidi" w:hAnsiTheme="majorBidi" w:cstheme="majorBidi" w:hint="eastAsia"/>
          <w:b/>
          <w:sz w:val="28"/>
          <w:szCs w:val="28"/>
        </w:rPr>
        <w:t>The HDAC Inhibitor, SAHA, Prevents Colonic Inflammation by Suppressing</w:t>
      </w:r>
      <w:r w:rsidRPr="0094488F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Pr="0094488F">
        <w:rPr>
          <w:rFonts w:asciiTheme="majorBidi" w:hAnsiTheme="majorBidi" w:cstheme="majorBidi" w:hint="eastAsia"/>
          <w:b/>
          <w:sz w:val="28"/>
          <w:szCs w:val="28"/>
        </w:rPr>
        <w:t xml:space="preserve">Pro-inflammatory Cytokines and </w:t>
      </w:r>
      <w:proofErr w:type="spellStart"/>
      <w:r w:rsidRPr="0094488F">
        <w:rPr>
          <w:rFonts w:asciiTheme="majorBidi" w:hAnsiTheme="majorBidi" w:cstheme="majorBidi" w:hint="eastAsia"/>
          <w:b/>
          <w:sz w:val="28"/>
          <w:szCs w:val="28"/>
        </w:rPr>
        <w:t>Chemokines</w:t>
      </w:r>
      <w:proofErr w:type="spellEnd"/>
      <w:r w:rsidRPr="0094488F">
        <w:rPr>
          <w:rFonts w:asciiTheme="majorBidi" w:hAnsiTheme="majorBidi" w:cstheme="majorBidi" w:hint="eastAsia"/>
          <w:b/>
          <w:sz w:val="28"/>
          <w:szCs w:val="28"/>
        </w:rPr>
        <w:t xml:space="preserve"> in DSS-induced Colitis</w:t>
      </w:r>
    </w:p>
    <w:p w:rsidR="005C34E6" w:rsidRPr="0094488F" w:rsidRDefault="005C34E6" w:rsidP="0094488F">
      <w:pPr>
        <w:spacing w:before="240" w:after="240" w:line="276" w:lineRule="auto"/>
        <w:rPr>
          <w:rFonts w:asciiTheme="majorBidi" w:hAnsiTheme="majorBidi" w:cstheme="majorBidi"/>
          <w:b/>
          <w:sz w:val="28"/>
          <w:szCs w:val="28"/>
        </w:rPr>
      </w:pPr>
      <w:r w:rsidRPr="0094488F">
        <w:rPr>
          <w:rFonts w:asciiTheme="majorBidi" w:hAnsiTheme="majorBidi" w:cstheme="majorBidi"/>
          <w:b/>
          <w:sz w:val="28"/>
          <w:szCs w:val="28"/>
        </w:rPr>
        <w:t xml:space="preserve">Abstract </w:t>
      </w:r>
    </w:p>
    <w:p w:rsidR="005C34E6" w:rsidRDefault="005C34E6" w:rsidP="0094488F">
      <w:pPr>
        <w:spacing w:line="360" w:lineRule="auto"/>
        <w:jc w:val="both"/>
        <w:rPr>
          <w:rFonts w:asciiTheme="majorBidi" w:hAnsiTheme="majorBidi" w:cstheme="majorBidi"/>
          <w:bCs/>
          <w:sz w:val="24"/>
        </w:rPr>
      </w:pPr>
      <w:r w:rsidRPr="00624D3F">
        <w:rPr>
          <w:rFonts w:eastAsiaTheme="minorEastAsia"/>
          <w:sz w:val="24"/>
        </w:rPr>
        <w:t>Inflammatory bowel disease</w:t>
      </w:r>
      <w:r>
        <w:rPr>
          <w:rFonts w:eastAsiaTheme="minorEastAsia"/>
          <w:sz w:val="24"/>
        </w:rPr>
        <w:t xml:space="preserve"> (IBD) </w:t>
      </w:r>
      <w:r w:rsidRPr="00624D3F">
        <w:rPr>
          <w:rFonts w:eastAsiaTheme="minorEastAsia"/>
          <w:sz w:val="24"/>
        </w:rPr>
        <w:t xml:space="preserve">is </w:t>
      </w:r>
      <w:r>
        <w:rPr>
          <w:rFonts w:eastAsiaTheme="minorEastAsia"/>
          <w:sz w:val="24"/>
        </w:rPr>
        <w:t xml:space="preserve">an </w:t>
      </w:r>
      <w:r w:rsidRPr="00624D3F">
        <w:rPr>
          <w:rFonts w:eastAsiaTheme="minorEastAsia"/>
          <w:sz w:val="24"/>
        </w:rPr>
        <w:t>inflammatory dis</w:t>
      </w:r>
      <w:r>
        <w:rPr>
          <w:rFonts w:eastAsiaTheme="minorEastAsia"/>
          <w:sz w:val="24"/>
        </w:rPr>
        <w:t xml:space="preserve">order </w:t>
      </w:r>
      <w:r w:rsidRPr="00624D3F">
        <w:rPr>
          <w:rFonts w:eastAsiaTheme="minorEastAsia"/>
          <w:sz w:val="24"/>
        </w:rPr>
        <w:t>of the gastrointestinal tract</w:t>
      </w:r>
      <w:r>
        <w:rPr>
          <w:rFonts w:eastAsiaTheme="minorEastAsia"/>
          <w:sz w:val="24"/>
        </w:rPr>
        <w:t xml:space="preserve"> that is caused by multiple factors, </w:t>
      </w:r>
      <w:r w:rsidRPr="003A1480">
        <w:rPr>
          <w:rFonts w:eastAsiaTheme="minorEastAsia"/>
          <w:sz w:val="24"/>
        </w:rPr>
        <w:t xml:space="preserve">including dysfunction of the </w:t>
      </w:r>
      <w:r w:rsidRPr="003A1480">
        <w:rPr>
          <w:sz w:val="24"/>
        </w:rPr>
        <w:t>immune system and genetic and epigenetic alterations.</w:t>
      </w:r>
      <w:r>
        <w:rPr>
          <w:rFonts w:eastAsiaTheme="minorEastAsia"/>
          <w:b/>
          <w:sz w:val="24"/>
        </w:rPr>
        <w:t xml:space="preserve"> </w:t>
      </w:r>
      <w:r>
        <w:rPr>
          <w:rFonts w:eastAsiaTheme="minorEastAsia"/>
          <w:sz w:val="24"/>
        </w:rPr>
        <w:t xml:space="preserve">Aberrant epigenetic regulation, especially histone acetylation, was found in biopsies from IBD patients and mouse models of colitis, suggesting that an epigenetic treatment approach may be useful for IBD therapy. </w:t>
      </w:r>
      <w:r w:rsidRPr="00624D3F">
        <w:rPr>
          <w:rFonts w:eastAsiaTheme="minorEastAsia"/>
          <w:sz w:val="24"/>
        </w:rPr>
        <w:t>Therefore, we investigated the effect</w:t>
      </w:r>
      <w:r w:rsidRPr="00624D3F">
        <w:rPr>
          <w:rFonts w:eastAsiaTheme="minorEastAsia" w:hint="eastAsia"/>
          <w:sz w:val="24"/>
        </w:rPr>
        <w:t>s</w:t>
      </w:r>
      <w:r w:rsidRPr="00624D3F">
        <w:rPr>
          <w:rFonts w:eastAsiaTheme="minorEastAsia"/>
          <w:sz w:val="24"/>
        </w:rPr>
        <w:t xml:space="preserve"> of </w:t>
      </w:r>
      <w:r>
        <w:rPr>
          <w:rFonts w:eastAsiaTheme="minorEastAsia"/>
          <w:sz w:val="24"/>
        </w:rPr>
        <w:t xml:space="preserve">the </w:t>
      </w:r>
      <w:r w:rsidRPr="00624D3F">
        <w:rPr>
          <w:rFonts w:eastAsiaTheme="minorEastAsia"/>
          <w:sz w:val="24"/>
        </w:rPr>
        <w:t xml:space="preserve">histone </w:t>
      </w:r>
      <w:proofErr w:type="spellStart"/>
      <w:r w:rsidRPr="00624D3F">
        <w:rPr>
          <w:rFonts w:eastAsiaTheme="minorEastAsia"/>
          <w:sz w:val="24"/>
        </w:rPr>
        <w:t>deacetylase</w:t>
      </w:r>
      <w:proofErr w:type="spellEnd"/>
      <w:r w:rsidRPr="00624D3F">
        <w:rPr>
          <w:rFonts w:eastAsiaTheme="minorEastAsia"/>
          <w:sz w:val="24"/>
        </w:rPr>
        <w:t xml:space="preserve"> (</w:t>
      </w:r>
      <w:r w:rsidRPr="00624D3F">
        <w:rPr>
          <w:rFonts w:asciiTheme="majorBidi" w:eastAsiaTheme="minorEastAsia" w:hAnsiTheme="majorBidi" w:cstheme="majorBidi"/>
          <w:sz w:val="24"/>
        </w:rPr>
        <w:t>HDAC) inhibitor,</w:t>
      </w:r>
      <w:r w:rsidRPr="00624D3F">
        <w:rPr>
          <w:rFonts w:eastAsiaTheme="minorEastAsia"/>
          <w:sz w:val="24"/>
        </w:rPr>
        <w:t xml:space="preserve"> </w:t>
      </w:r>
      <w:proofErr w:type="spellStart"/>
      <w:r w:rsidRPr="00624D3F">
        <w:rPr>
          <w:rFonts w:eastAsiaTheme="minorEastAsia"/>
          <w:sz w:val="24"/>
        </w:rPr>
        <w:t>suberoylanilide</w:t>
      </w:r>
      <w:proofErr w:type="spellEnd"/>
      <w:r w:rsidRPr="00624D3F">
        <w:rPr>
          <w:rFonts w:eastAsiaTheme="minorEastAsia"/>
          <w:sz w:val="24"/>
        </w:rPr>
        <w:t xml:space="preserve"> </w:t>
      </w:r>
      <w:proofErr w:type="spellStart"/>
      <w:r w:rsidRPr="00624D3F">
        <w:rPr>
          <w:rFonts w:eastAsiaTheme="minorEastAsia"/>
          <w:sz w:val="24"/>
        </w:rPr>
        <w:t>hydroxamic</w:t>
      </w:r>
      <w:proofErr w:type="spellEnd"/>
      <w:r>
        <w:rPr>
          <w:rFonts w:eastAsiaTheme="minorEastAsia" w:hint="eastAsia"/>
          <w:sz w:val="24"/>
        </w:rPr>
        <w:t xml:space="preserve"> acid</w:t>
      </w:r>
      <w:r w:rsidRPr="00624D3F">
        <w:rPr>
          <w:rFonts w:eastAsiaTheme="minorEastAsia"/>
          <w:sz w:val="24"/>
        </w:rPr>
        <w:t xml:space="preserve"> (SAHA)</w:t>
      </w:r>
      <w:r>
        <w:rPr>
          <w:rFonts w:eastAsiaTheme="minorEastAsia"/>
          <w:sz w:val="24"/>
        </w:rPr>
        <w:t>,</w:t>
      </w:r>
      <w:r w:rsidRPr="00624D3F">
        <w:rPr>
          <w:rFonts w:eastAsiaTheme="minorEastAsia"/>
          <w:sz w:val="24"/>
        </w:rPr>
        <w:t xml:space="preserve"> in a mouse model of dextran sulfate sodium (DSS)</w:t>
      </w:r>
      <w:r>
        <w:rPr>
          <w:rFonts w:eastAsiaTheme="minorEastAsia"/>
          <w:sz w:val="24"/>
        </w:rPr>
        <w:t>-</w:t>
      </w:r>
      <w:r w:rsidRPr="00624D3F">
        <w:rPr>
          <w:rFonts w:eastAsiaTheme="minorEastAsia"/>
          <w:sz w:val="24"/>
        </w:rPr>
        <w:t>induced</w:t>
      </w:r>
      <w:r>
        <w:rPr>
          <w:rFonts w:eastAsiaTheme="minorEastAsia"/>
          <w:sz w:val="24"/>
        </w:rPr>
        <w:t xml:space="preserve"> </w:t>
      </w:r>
      <w:r w:rsidRPr="00624D3F">
        <w:rPr>
          <w:rFonts w:eastAsiaTheme="minorEastAsia"/>
          <w:sz w:val="24"/>
        </w:rPr>
        <w:t>colitis. C57BL/6 mice were treated with 1.5% DSS for 5 days and</w:t>
      </w:r>
      <w:r>
        <w:rPr>
          <w:rFonts w:eastAsiaTheme="minorEastAsia"/>
          <w:sz w:val="24"/>
        </w:rPr>
        <w:t>/or</w:t>
      </w:r>
      <w:r w:rsidRPr="00624D3F">
        <w:rPr>
          <w:rFonts w:eastAsiaTheme="minorEastAsia"/>
          <w:sz w:val="24"/>
        </w:rPr>
        <w:t xml:space="preserve"> SAHA (25 mg/kg BW/day) for </w:t>
      </w:r>
      <w:r>
        <w:rPr>
          <w:rFonts w:eastAsiaTheme="minorEastAsia"/>
          <w:sz w:val="24"/>
        </w:rPr>
        <w:t>26</w:t>
      </w:r>
      <w:r w:rsidRPr="00624D3F">
        <w:rPr>
          <w:rFonts w:eastAsiaTheme="minorEastAsia"/>
          <w:sz w:val="24"/>
        </w:rPr>
        <w:t xml:space="preserve"> days. </w:t>
      </w:r>
      <w:r>
        <w:rPr>
          <w:rFonts w:eastAsiaTheme="minorEastAsia"/>
          <w:sz w:val="24"/>
        </w:rPr>
        <w:t>Levels of mRNA for the p</w:t>
      </w:r>
      <w:r w:rsidRPr="00624D3F">
        <w:rPr>
          <w:rFonts w:eastAsiaTheme="minorEastAsia"/>
          <w:sz w:val="24"/>
        </w:rPr>
        <w:t>ro-inflammatory cytokines</w:t>
      </w:r>
      <w:r>
        <w:rPr>
          <w:rFonts w:eastAsiaTheme="minorEastAsia"/>
          <w:sz w:val="24"/>
        </w:rPr>
        <w:t>, interleukin (</w:t>
      </w:r>
      <w:r w:rsidRPr="00624D3F">
        <w:rPr>
          <w:rFonts w:eastAsiaTheme="minorEastAsia"/>
          <w:sz w:val="24"/>
        </w:rPr>
        <w:t>IL</w:t>
      </w:r>
      <w:r>
        <w:rPr>
          <w:rFonts w:eastAsiaTheme="minorEastAsia"/>
          <w:sz w:val="24"/>
        </w:rPr>
        <w:t>)</w:t>
      </w:r>
      <w:r w:rsidRPr="00624D3F">
        <w:rPr>
          <w:rFonts w:eastAsiaTheme="minorEastAsia"/>
          <w:sz w:val="24"/>
        </w:rPr>
        <w:t>-6</w:t>
      </w:r>
      <w:r>
        <w:rPr>
          <w:rFonts w:eastAsiaTheme="minorEastAsia"/>
          <w:sz w:val="24"/>
        </w:rPr>
        <w:t xml:space="preserve"> and tumor necrosis factor (</w:t>
      </w:r>
      <w:r w:rsidRPr="00624D3F">
        <w:rPr>
          <w:rFonts w:eastAsiaTheme="minorEastAsia"/>
          <w:sz w:val="24"/>
        </w:rPr>
        <w:t>TNF</w:t>
      </w:r>
      <w:r>
        <w:rPr>
          <w:rFonts w:eastAsiaTheme="minorEastAsia"/>
          <w:sz w:val="24"/>
        </w:rPr>
        <w:t>)</w:t>
      </w:r>
      <w:r w:rsidRPr="00624D3F">
        <w:rPr>
          <w:rFonts w:eastAsiaTheme="minorEastAsia"/>
          <w:sz w:val="24"/>
        </w:rPr>
        <w:t>-</w:t>
      </w:r>
      <w:proofErr w:type="gramStart"/>
      <w:r w:rsidRPr="00624D3F">
        <w:rPr>
          <w:rFonts w:eastAsiaTheme="minorEastAsia"/>
          <w:sz w:val="24"/>
        </w:rPr>
        <w:t>α</w:t>
      </w:r>
      <w:r>
        <w:rPr>
          <w:rFonts w:eastAsiaTheme="minorEastAsia"/>
          <w:sz w:val="24"/>
        </w:rPr>
        <w:t>,</w:t>
      </w:r>
      <w:proofErr w:type="gramEnd"/>
      <w:r w:rsidRPr="00624D3F">
        <w:rPr>
          <w:rFonts w:eastAsiaTheme="minorEastAsia"/>
          <w:sz w:val="24"/>
        </w:rPr>
        <w:t xml:space="preserve"> a</w:t>
      </w:r>
      <w:r>
        <w:rPr>
          <w:rFonts w:eastAsiaTheme="minorEastAsia"/>
          <w:sz w:val="24"/>
        </w:rPr>
        <w:t xml:space="preserve">nd the </w:t>
      </w:r>
      <w:proofErr w:type="spellStart"/>
      <w:r>
        <w:rPr>
          <w:rFonts w:eastAsiaTheme="minorEastAsia"/>
          <w:sz w:val="24"/>
        </w:rPr>
        <w:t>chemokines</w:t>
      </w:r>
      <w:proofErr w:type="spellEnd"/>
      <w:r>
        <w:rPr>
          <w:rFonts w:eastAsiaTheme="minorEastAsia"/>
          <w:sz w:val="24"/>
        </w:rPr>
        <w:t>,</w:t>
      </w:r>
      <w:r w:rsidRPr="00624D3F">
        <w:rPr>
          <w:rFonts w:eastAsiaTheme="minorEastAsia"/>
          <w:sz w:val="24"/>
        </w:rPr>
        <w:t xml:space="preserve"> Ccl2</w:t>
      </w:r>
      <w:r>
        <w:rPr>
          <w:rFonts w:eastAsiaTheme="minorEastAsia"/>
          <w:sz w:val="24"/>
        </w:rPr>
        <w:t>,</w:t>
      </w:r>
      <w:r w:rsidRPr="00624D3F">
        <w:rPr>
          <w:rFonts w:eastAsiaTheme="minorEastAsia"/>
          <w:sz w:val="24"/>
        </w:rPr>
        <w:t xml:space="preserve"> were </w:t>
      </w:r>
      <w:r>
        <w:rPr>
          <w:rFonts w:eastAsiaTheme="minorEastAsia"/>
          <w:sz w:val="24"/>
        </w:rPr>
        <w:t xml:space="preserve">examined </w:t>
      </w:r>
      <w:r w:rsidRPr="00624D3F">
        <w:rPr>
          <w:rFonts w:eastAsiaTheme="minorEastAsia"/>
          <w:sz w:val="24"/>
        </w:rPr>
        <w:t xml:space="preserve">by </w:t>
      </w:r>
      <w:proofErr w:type="spellStart"/>
      <w:r>
        <w:rPr>
          <w:rFonts w:eastAsiaTheme="minorEastAsia"/>
          <w:sz w:val="24"/>
        </w:rPr>
        <w:t>qRT</w:t>
      </w:r>
      <w:proofErr w:type="spellEnd"/>
      <w:r>
        <w:rPr>
          <w:rFonts w:eastAsiaTheme="minorEastAsia"/>
          <w:sz w:val="24"/>
        </w:rPr>
        <w:t xml:space="preserve">-PCR. CD11b, a marker of dendritic cells, macrophages, and monocytes, as well as Ccl2 expression, were examined by </w:t>
      </w:r>
      <w:r w:rsidRPr="00624D3F">
        <w:rPr>
          <w:rFonts w:eastAsiaTheme="minorEastAsia"/>
          <w:sz w:val="24"/>
        </w:rPr>
        <w:t>immunohistochemistry</w:t>
      </w:r>
      <w:r>
        <w:rPr>
          <w:rFonts w:eastAsiaTheme="minorEastAsia"/>
          <w:sz w:val="24"/>
        </w:rPr>
        <w:t>. IL-6, TNF-α, and Ccl2 gene expression peaked on day 5 in DSS-treated mouse colon, whereas SAHA treatment significantly decreased pro-inflammatory gene expression. Ccl2 protein expression resembled Ccl2 gene expression results. Moreover, localization of CD11b showed that migratory inflammatory cells were dramatically decreased by SAHA treatment compared to DSS-treated mouse colon. Thus, we conclude that the H</w:t>
      </w:r>
      <w:r>
        <w:rPr>
          <w:rFonts w:asciiTheme="majorBidi" w:hAnsiTheme="majorBidi" w:cstheme="majorBidi"/>
          <w:bCs/>
          <w:sz w:val="24"/>
        </w:rPr>
        <w:t xml:space="preserve">DAC inhibitor, SAHA, attenuates inflammatory changes in DSS-induced colitis by suppressing local secretion of pro-inflammatory cytokines and </w:t>
      </w:r>
      <w:proofErr w:type="spellStart"/>
      <w:r>
        <w:rPr>
          <w:rFonts w:asciiTheme="majorBidi" w:hAnsiTheme="majorBidi" w:cstheme="majorBidi"/>
          <w:bCs/>
          <w:sz w:val="24"/>
        </w:rPr>
        <w:t>chemokines</w:t>
      </w:r>
      <w:proofErr w:type="spellEnd"/>
      <w:r>
        <w:rPr>
          <w:rFonts w:asciiTheme="majorBidi" w:hAnsiTheme="majorBidi" w:cstheme="majorBidi"/>
          <w:bCs/>
          <w:sz w:val="24"/>
        </w:rPr>
        <w:t xml:space="preserve"> and also by suppressing mobilization and accumulation of inflammatory cells.</w:t>
      </w:r>
    </w:p>
    <w:p w:rsidR="005C34E6" w:rsidRDefault="005C34E6" w:rsidP="0094488F">
      <w:pPr>
        <w:spacing w:before="240" w:line="360" w:lineRule="auto"/>
        <w:jc w:val="both"/>
        <w:rPr>
          <w:rFonts w:eastAsiaTheme="minorEastAsia"/>
          <w:sz w:val="24"/>
        </w:rPr>
      </w:pPr>
      <w:r w:rsidRPr="00F21BA9">
        <w:rPr>
          <w:rFonts w:asciiTheme="majorBidi" w:hAnsiTheme="majorBidi" w:cstheme="majorBidi"/>
          <w:b/>
          <w:noProof/>
          <w:sz w:val="24"/>
          <w:shd w:val="clear" w:color="auto" w:fill="FFFFFF"/>
        </w:rPr>
        <w:t>Keywords</w:t>
      </w:r>
      <w:r w:rsidRPr="00F21BA9">
        <w:rPr>
          <w:rFonts w:asciiTheme="majorBidi" w:hAnsiTheme="majorBidi" w:cstheme="majorBidi"/>
          <w:bCs/>
          <w:sz w:val="24"/>
        </w:rPr>
        <w:t xml:space="preserve">: </w:t>
      </w:r>
      <w:r w:rsidRPr="00F21BA9">
        <w:rPr>
          <w:rFonts w:eastAsiaTheme="minorEastAsia"/>
          <w:sz w:val="24"/>
        </w:rPr>
        <w:t xml:space="preserve">Inflammatory bowel disease, histone </w:t>
      </w:r>
      <w:proofErr w:type="spellStart"/>
      <w:r w:rsidRPr="00F21BA9">
        <w:rPr>
          <w:rFonts w:eastAsiaTheme="minorEastAsia"/>
          <w:sz w:val="24"/>
        </w:rPr>
        <w:t>deacetylase</w:t>
      </w:r>
      <w:proofErr w:type="spellEnd"/>
      <w:r w:rsidRPr="00F21BA9">
        <w:rPr>
          <w:rFonts w:eastAsiaTheme="minorEastAsia"/>
          <w:sz w:val="24"/>
        </w:rPr>
        <w:t xml:space="preserve"> </w:t>
      </w:r>
      <w:r w:rsidRPr="00F21BA9">
        <w:rPr>
          <w:rFonts w:asciiTheme="majorBidi" w:eastAsiaTheme="minorEastAsia" w:hAnsiTheme="majorBidi" w:cstheme="majorBidi"/>
          <w:sz w:val="24"/>
        </w:rPr>
        <w:t>inhibitor,</w:t>
      </w:r>
      <w:r w:rsidRPr="00F21BA9">
        <w:rPr>
          <w:rFonts w:eastAsiaTheme="minorEastAsia"/>
          <w:sz w:val="24"/>
        </w:rPr>
        <w:t xml:space="preserve"> dextran sodium sulfate, pro-inflammatory cytokines and </w:t>
      </w:r>
      <w:proofErr w:type="spellStart"/>
      <w:r w:rsidRPr="00F21BA9">
        <w:rPr>
          <w:rFonts w:eastAsiaTheme="minorEastAsia"/>
          <w:sz w:val="24"/>
        </w:rPr>
        <w:t>chemokine</w:t>
      </w:r>
      <w:r>
        <w:rPr>
          <w:rFonts w:eastAsiaTheme="minorEastAsia"/>
          <w:sz w:val="24"/>
        </w:rPr>
        <w:t>s</w:t>
      </w:r>
      <w:proofErr w:type="spellEnd"/>
    </w:p>
    <w:p w:rsidR="0094488F" w:rsidRDefault="0094488F" w:rsidP="0094488F">
      <w:pPr>
        <w:spacing w:before="240" w:line="360" w:lineRule="auto"/>
        <w:jc w:val="both"/>
      </w:pPr>
      <w:r>
        <w:rPr>
          <w:rFonts w:eastAsiaTheme="minorEastAsia"/>
          <w:sz w:val="24"/>
        </w:rPr>
        <w:t xml:space="preserve">Online link: </w:t>
      </w:r>
      <w:hyperlink r:id="rId5" w:history="1">
        <w:r w:rsidRPr="00373C05">
          <w:rPr>
            <w:rStyle w:val="Hyperlink"/>
            <w:rFonts w:eastAsiaTheme="minorEastAsia"/>
            <w:sz w:val="24"/>
          </w:rPr>
          <w:t>https://www.ncbi.nlm.nih.gov/pmc/articles/PMC5880801/</w:t>
        </w:r>
      </w:hyperlink>
      <w:r>
        <w:t xml:space="preserve"> </w:t>
      </w:r>
      <w:bookmarkStart w:id="0" w:name="_GoBack"/>
      <w:bookmarkEnd w:id="0"/>
    </w:p>
    <w:sectPr w:rsidR="00944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Q0NTc3MDEwMzM2tzRT0lEKTi0uzszPAykwrAUAv+V1ISwAAAA="/>
  </w:docVars>
  <w:rsids>
    <w:rsidRoot w:val="005C34E6"/>
    <w:rsid w:val="005C34E6"/>
    <w:rsid w:val="006F2E73"/>
    <w:rsid w:val="0094488F"/>
    <w:rsid w:val="00C8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4E6"/>
    <w:pPr>
      <w:spacing w:after="0" w:line="480" w:lineRule="auto"/>
    </w:pPr>
    <w:rPr>
      <w:rFonts w:ascii="Times New Roman" w:eastAsia="MS Mincho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488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488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4E6"/>
    <w:pPr>
      <w:spacing w:after="0" w:line="480" w:lineRule="auto"/>
    </w:pPr>
    <w:rPr>
      <w:rFonts w:ascii="Times New Roman" w:eastAsia="MS Mincho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488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48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pmc/articles/PMC58808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Raheema Shaik</cp:lastModifiedBy>
  <cp:revision>2</cp:revision>
  <dcterms:created xsi:type="dcterms:W3CDTF">2022-01-11T05:39:00Z</dcterms:created>
  <dcterms:modified xsi:type="dcterms:W3CDTF">2022-01-11T05:39:00Z</dcterms:modified>
</cp:coreProperties>
</file>